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8A" w:rsidRPr="00EA0582" w:rsidRDefault="0051441A" w:rsidP="00BA6C5C">
      <w:pPr>
        <w:rPr>
          <w:sz w:val="26"/>
          <w:szCs w:val="26"/>
        </w:rPr>
      </w:pPr>
      <w:r>
        <w:rPr>
          <w:noProof/>
          <w:sz w:val="26"/>
          <w:szCs w:val="26"/>
        </w:rPr>
        <w:pict>
          <v:shapetype id="_x0000_t202" coordsize="21600,21600" o:spt="202" path="m,l,21600r21600,l21600,xe">
            <v:stroke joinstyle="miter"/>
            <v:path gradientshapeok="t" o:connecttype="rect"/>
          </v:shapetype>
          <v:shape id="_x0000_s1027" type="#_x0000_t202" style="position:absolute;margin-left:162pt;margin-top:18pt;width:306pt;height:90pt;z-index:251660288" stroked="f">
            <v:textbox style="mso-next-textbox:#_x0000_s1027">
              <w:txbxContent>
                <w:p w:rsidR="00D45301" w:rsidRPr="00957FBC" w:rsidRDefault="00D45301" w:rsidP="005B468A">
                  <w:pPr>
                    <w:jc w:val="right"/>
                  </w:pPr>
                  <w:smartTag w:uri="urn:schemas-microsoft-com:office:smarttags" w:element="place">
                    <w:smartTag w:uri="urn:schemas-microsoft-com:office:smarttags" w:element="PlaceName">
                      <w:r>
                        <w:t>Regions</w:t>
                      </w:r>
                    </w:smartTag>
                    <w:r w:rsidRPr="00957FBC">
                      <w:t xml:space="preserve"> </w:t>
                    </w:r>
                    <w:smartTag w:uri="urn:schemas-microsoft-com:office:smarttags" w:element="PlaceType">
                      <w:r w:rsidRPr="00957FBC">
                        <w:t>Building</w:t>
                      </w:r>
                    </w:smartTag>
                  </w:smartTag>
                </w:p>
                <w:p w:rsidR="00D45301" w:rsidRPr="00957FBC" w:rsidRDefault="00D45301" w:rsidP="005B468A">
                  <w:pPr>
                    <w:jc w:val="right"/>
                  </w:pPr>
                  <w:r w:rsidRPr="00957FBC">
                    <w:t xml:space="preserve">100 North Tampa Street, Suite </w:t>
                  </w:r>
                  <w:r>
                    <w:t>3700</w:t>
                  </w:r>
                </w:p>
                <w:p w:rsidR="00D45301" w:rsidRPr="00957FBC" w:rsidRDefault="00D45301" w:rsidP="005B468A">
                  <w:pPr>
                    <w:jc w:val="right"/>
                  </w:pPr>
                  <w:smartTag w:uri="urn:schemas-microsoft-com:office:smarttags" w:element="place">
                    <w:smartTag w:uri="urn:schemas-microsoft-com:office:smarttags" w:element="City">
                      <w:r w:rsidRPr="00957FBC">
                        <w:t>Tampa</w:t>
                      </w:r>
                    </w:smartTag>
                    <w:r w:rsidRPr="00957FBC">
                      <w:t xml:space="preserve">, </w:t>
                    </w:r>
                    <w:smartTag w:uri="urn:schemas-microsoft-com:office:smarttags" w:element="State">
                      <w:r w:rsidRPr="00957FBC">
                        <w:t>Florida</w:t>
                      </w:r>
                    </w:smartTag>
                    <w:r w:rsidRPr="00957FBC">
                      <w:t xml:space="preserve"> </w:t>
                    </w:r>
                    <w:smartTag w:uri="urn:schemas-microsoft-com:office:smarttags" w:element="PostalCode">
                      <w:r w:rsidRPr="00957FBC">
                        <w:t>33602</w:t>
                      </w:r>
                    </w:smartTag>
                  </w:smartTag>
                </w:p>
                <w:p w:rsidR="00D45301" w:rsidRPr="00957FBC" w:rsidRDefault="00D45301" w:rsidP="005B468A">
                  <w:pPr>
                    <w:jc w:val="right"/>
                  </w:pPr>
                  <w:r w:rsidRPr="00957FBC">
                    <w:t>813-229-</w:t>
                  </w:r>
                  <w:proofErr w:type="gramStart"/>
                  <w:r w:rsidRPr="00957FBC">
                    <w:t>3500  Phone</w:t>
                  </w:r>
                  <w:proofErr w:type="gramEnd"/>
                  <w:r w:rsidRPr="00957FBC">
                    <w:t xml:space="preserve"> </w:t>
                  </w:r>
                </w:p>
                <w:p w:rsidR="00D45301" w:rsidRPr="00957FBC" w:rsidRDefault="00D45301" w:rsidP="005B468A">
                  <w:pPr>
                    <w:jc w:val="right"/>
                  </w:pPr>
                  <w:r w:rsidRPr="00957FBC">
                    <w:t>813-229-</w:t>
                  </w:r>
                  <w:proofErr w:type="gramStart"/>
                  <w:r w:rsidRPr="00957FBC">
                    <w:t>3502  Fax</w:t>
                  </w:r>
                  <w:proofErr w:type="gramEnd"/>
                </w:p>
                <w:p w:rsidR="00D45301" w:rsidRPr="00957FBC" w:rsidRDefault="00D45301" w:rsidP="005B468A">
                  <w:pPr>
                    <w:jc w:val="right"/>
                  </w:pPr>
                  <w:r w:rsidRPr="00957FBC">
                    <w:t>www.mpdlegal.com</w:t>
                  </w:r>
                </w:p>
                <w:p w:rsidR="00D45301" w:rsidRPr="00811A4C" w:rsidRDefault="00D45301" w:rsidP="005B468A">
                  <w:pPr>
                    <w:jc w:val="center"/>
                    <w:rPr>
                      <w:rFonts w:ascii="Arial" w:hAnsi="Arial" w:cs="Arial"/>
                      <w:sz w:val="22"/>
                      <w:szCs w:val="22"/>
                    </w:rPr>
                  </w:pPr>
                </w:p>
              </w:txbxContent>
            </v:textbox>
          </v:shape>
        </w:pict>
      </w:r>
      <w:r w:rsidR="005B468A" w:rsidRPr="00EA0582">
        <w:rPr>
          <w:noProof/>
          <w:sz w:val="26"/>
          <w:szCs w:val="26"/>
        </w:rPr>
        <w:drawing>
          <wp:inline distT="0" distB="0" distL="0" distR="0">
            <wp:extent cx="1485900" cy="1171575"/>
            <wp:effectExtent l="19050" t="0" r="0" b="0"/>
            <wp:docPr id="2" name="Picture 1" descr="mp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d-eps"/>
                    <pic:cNvPicPr>
                      <a:picLocks noChangeAspect="1" noChangeArrowheads="1"/>
                    </pic:cNvPicPr>
                  </pic:nvPicPr>
                  <pic:blipFill>
                    <a:blip r:embed="rId7" cstate="print"/>
                    <a:srcRect/>
                    <a:stretch>
                      <a:fillRect/>
                    </a:stretch>
                  </pic:blipFill>
                  <pic:spPr bwMode="auto">
                    <a:xfrm>
                      <a:off x="0" y="0"/>
                      <a:ext cx="1485900" cy="1171575"/>
                    </a:xfrm>
                    <a:prstGeom prst="rect">
                      <a:avLst/>
                    </a:prstGeom>
                    <a:noFill/>
                    <a:ln w="9525">
                      <a:noFill/>
                      <a:miter lim="800000"/>
                      <a:headEnd/>
                      <a:tailEnd/>
                    </a:ln>
                  </pic:spPr>
                </pic:pic>
              </a:graphicData>
            </a:graphic>
          </wp:inline>
        </w:drawing>
      </w:r>
    </w:p>
    <w:p w:rsidR="005B468A" w:rsidRPr="00EA0582" w:rsidRDefault="005B468A" w:rsidP="00BA6C5C">
      <w:pPr>
        <w:rPr>
          <w:sz w:val="26"/>
          <w:szCs w:val="26"/>
        </w:rPr>
      </w:pPr>
    </w:p>
    <w:p w:rsidR="005B468A" w:rsidRPr="00EA0582" w:rsidRDefault="005B468A" w:rsidP="00BA6C5C">
      <w:pPr>
        <w:rPr>
          <w:sz w:val="26"/>
          <w:szCs w:val="26"/>
        </w:rPr>
      </w:pPr>
    </w:p>
    <w:p w:rsidR="005B468A" w:rsidRPr="00EA0582" w:rsidRDefault="005B468A" w:rsidP="00BA6C5C">
      <w:pPr>
        <w:jc w:val="center"/>
        <w:rPr>
          <w:b/>
          <w:sz w:val="26"/>
          <w:szCs w:val="26"/>
        </w:rPr>
      </w:pPr>
      <w:r w:rsidRPr="00EA0582">
        <w:rPr>
          <w:b/>
          <w:sz w:val="26"/>
          <w:szCs w:val="26"/>
        </w:rPr>
        <w:t>MEMORANDUM</w:t>
      </w:r>
    </w:p>
    <w:p w:rsidR="005B468A" w:rsidRPr="00EA0582" w:rsidRDefault="005B468A" w:rsidP="00BA6C5C">
      <w:pPr>
        <w:jc w:val="center"/>
        <w:rPr>
          <w:b/>
          <w:sz w:val="26"/>
          <w:szCs w:val="26"/>
        </w:rPr>
      </w:pPr>
    </w:p>
    <w:p w:rsidR="005B468A" w:rsidRPr="00EA0582" w:rsidRDefault="005B468A" w:rsidP="00BA6C5C">
      <w:pPr>
        <w:rPr>
          <w:b/>
          <w:sz w:val="26"/>
          <w:szCs w:val="26"/>
        </w:rPr>
      </w:pPr>
      <w:r w:rsidRPr="00EA0582">
        <w:rPr>
          <w:b/>
          <w:sz w:val="26"/>
          <w:szCs w:val="26"/>
        </w:rPr>
        <w:t>TO:</w:t>
      </w:r>
      <w:r w:rsidRPr="00EA0582">
        <w:rPr>
          <w:b/>
          <w:sz w:val="26"/>
          <w:szCs w:val="26"/>
        </w:rPr>
        <w:tab/>
      </w:r>
      <w:r w:rsidRPr="00EA0582">
        <w:rPr>
          <w:b/>
          <w:sz w:val="26"/>
          <w:szCs w:val="26"/>
        </w:rPr>
        <w:tab/>
        <w:t>RPPTL Construction Law Committee</w:t>
      </w:r>
    </w:p>
    <w:p w:rsidR="005B468A" w:rsidRPr="00EA0582" w:rsidRDefault="005B468A" w:rsidP="00BA6C5C">
      <w:pPr>
        <w:rPr>
          <w:b/>
          <w:sz w:val="26"/>
          <w:szCs w:val="26"/>
        </w:rPr>
      </w:pPr>
    </w:p>
    <w:p w:rsidR="005B468A" w:rsidRPr="00EA0582" w:rsidRDefault="005B468A" w:rsidP="00BA6C5C">
      <w:pPr>
        <w:rPr>
          <w:b/>
          <w:sz w:val="26"/>
          <w:szCs w:val="26"/>
        </w:rPr>
      </w:pPr>
      <w:r w:rsidRPr="00EA0582">
        <w:rPr>
          <w:b/>
          <w:sz w:val="26"/>
          <w:szCs w:val="26"/>
        </w:rPr>
        <w:t>FROM:</w:t>
      </w:r>
      <w:r w:rsidRPr="00EA0582">
        <w:rPr>
          <w:b/>
          <w:sz w:val="26"/>
          <w:szCs w:val="26"/>
        </w:rPr>
        <w:tab/>
        <w:t>Ty G. Thompson</w:t>
      </w:r>
    </w:p>
    <w:p w:rsidR="005B468A" w:rsidRPr="00EA0582" w:rsidRDefault="005B468A" w:rsidP="00BA6C5C">
      <w:pPr>
        <w:ind w:left="720" w:firstLine="720"/>
        <w:rPr>
          <w:b/>
          <w:sz w:val="26"/>
          <w:szCs w:val="26"/>
        </w:rPr>
      </w:pPr>
      <w:r w:rsidRPr="00EA0582">
        <w:rPr>
          <w:b/>
          <w:sz w:val="26"/>
          <w:szCs w:val="26"/>
        </w:rPr>
        <w:t>Surety &amp; Insurance Subcommittee</w:t>
      </w:r>
    </w:p>
    <w:p w:rsidR="005B468A" w:rsidRPr="00EA0582" w:rsidRDefault="005B468A" w:rsidP="00BA6C5C">
      <w:pPr>
        <w:rPr>
          <w:sz w:val="26"/>
          <w:szCs w:val="26"/>
        </w:rPr>
      </w:pPr>
    </w:p>
    <w:p w:rsidR="005B468A" w:rsidRPr="00EA0582" w:rsidRDefault="005B468A" w:rsidP="00BA6C5C">
      <w:pPr>
        <w:rPr>
          <w:b/>
          <w:sz w:val="26"/>
          <w:szCs w:val="26"/>
        </w:rPr>
      </w:pPr>
      <w:r w:rsidRPr="00EA0582">
        <w:rPr>
          <w:b/>
          <w:sz w:val="26"/>
          <w:szCs w:val="26"/>
        </w:rPr>
        <w:t>DATE:</w:t>
      </w:r>
      <w:r w:rsidRPr="00EA0582">
        <w:rPr>
          <w:b/>
          <w:sz w:val="26"/>
          <w:szCs w:val="26"/>
        </w:rPr>
        <w:tab/>
      </w:r>
      <w:r w:rsidR="000F76E9">
        <w:rPr>
          <w:b/>
          <w:sz w:val="26"/>
          <w:szCs w:val="26"/>
        </w:rPr>
        <w:t>November 11, 2013</w:t>
      </w:r>
    </w:p>
    <w:p w:rsidR="005B468A" w:rsidRPr="00EA0582" w:rsidRDefault="005B468A" w:rsidP="00BA6C5C">
      <w:pPr>
        <w:rPr>
          <w:sz w:val="26"/>
          <w:szCs w:val="26"/>
        </w:rPr>
      </w:pPr>
    </w:p>
    <w:p w:rsidR="005B468A" w:rsidRPr="00EA0582" w:rsidRDefault="005B468A" w:rsidP="00BA6C5C">
      <w:pPr>
        <w:ind w:left="1440" w:hanging="1440"/>
        <w:rPr>
          <w:b/>
          <w:sz w:val="26"/>
          <w:szCs w:val="26"/>
        </w:rPr>
      </w:pPr>
      <w:r w:rsidRPr="00EA0582">
        <w:rPr>
          <w:b/>
          <w:sz w:val="26"/>
          <w:szCs w:val="26"/>
        </w:rPr>
        <w:t>RE:</w:t>
      </w:r>
      <w:r w:rsidRPr="00EA0582">
        <w:rPr>
          <w:b/>
          <w:sz w:val="26"/>
          <w:szCs w:val="26"/>
        </w:rPr>
        <w:tab/>
      </w:r>
      <w:r w:rsidR="000F76E9">
        <w:rPr>
          <w:b/>
          <w:sz w:val="26"/>
          <w:szCs w:val="26"/>
        </w:rPr>
        <w:t>August-November</w:t>
      </w:r>
      <w:r w:rsidR="00C608E2">
        <w:rPr>
          <w:b/>
          <w:sz w:val="26"/>
          <w:szCs w:val="26"/>
        </w:rPr>
        <w:t xml:space="preserve"> 2013 </w:t>
      </w:r>
      <w:r w:rsidRPr="00EA0582">
        <w:rPr>
          <w:b/>
          <w:sz w:val="26"/>
          <w:szCs w:val="26"/>
        </w:rPr>
        <w:t>Case Law Update</w:t>
      </w:r>
    </w:p>
    <w:p w:rsidR="005A5876" w:rsidRDefault="005B468A" w:rsidP="00D45301">
      <w:pPr>
        <w:rPr>
          <w:b/>
          <w:sz w:val="26"/>
          <w:szCs w:val="26"/>
          <w:u w:val="double"/>
        </w:rPr>
      </w:pPr>
      <w:r w:rsidRPr="00EA0582">
        <w:rPr>
          <w:b/>
          <w:sz w:val="26"/>
          <w:szCs w:val="26"/>
          <w:u w:val="double"/>
        </w:rPr>
        <w:tab/>
      </w:r>
      <w:r w:rsidRPr="00EA0582">
        <w:rPr>
          <w:b/>
          <w:sz w:val="26"/>
          <w:szCs w:val="26"/>
          <w:u w:val="double"/>
        </w:rPr>
        <w:tab/>
      </w:r>
      <w:r w:rsidRPr="00EA0582">
        <w:rPr>
          <w:b/>
          <w:sz w:val="26"/>
          <w:szCs w:val="26"/>
          <w:u w:val="double"/>
        </w:rPr>
        <w:tab/>
      </w:r>
      <w:r w:rsidRPr="00EA0582">
        <w:rPr>
          <w:b/>
          <w:sz w:val="26"/>
          <w:szCs w:val="26"/>
          <w:u w:val="double"/>
        </w:rPr>
        <w:tab/>
      </w:r>
      <w:r w:rsidRPr="00EA0582">
        <w:rPr>
          <w:b/>
          <w:sz w:val="26"/>
          <w:szCs w:val="26"/>
          <w:u w:val="double"/>
        </w:rPr>
        <w:tab/>
      </w:r>
      <w:r w:rsidRPr="00EA0582">
        <w:rPr>
          <w:b/>
          <w:sz w:val="26"/>
          <w:szCs w:val="26"/>
          <w:u w:val="double"/>
        </w:rPr>
        <w:tab/>
      </w:r>
      <w:r w:rsidRPr="00EA0582">
        <w:rPr>
          <w:b/>
          <w:sz w:val="26"/>
          <w:szCs w:val="26"/>
          <w:u w:val="double"/>
        </w:rPr>
        <w:tab/>
      </w:r>
      <w:r w:rsidRPr="00EA0582">
        <w:rPr>
          <w:b/>
          <w:sz w:val="26"/>
          <w:szCs w:val="26"/>
          <w:u w:val="double"/>
        </w:rPr>
        <w:tab/>
      </w:r>
      <w:r w:rsidRPr="00EA0582">
        <w:rPr>
          <w:b/>
          <w:sz w:val="26"/>
          <w:szCs w:val="26"/>
          <w:u w:val="double"/>
        </w:rPr>
        <w:tab/>
      </w:r>
      <w:r w:rsidRPr="00EA0582">
        <w:rPr>
          <w:b/>
          <w:sz w:val="26"/>
          <w:szCs w:val="26"/>
          <w:u w:val="double"/>
        </w:rPr>
        <w:tab/>
      </w:r>
      <w:r w:rsidRPr="00EA0582">
        <w:rPr>
          <w:b/>
          <w:sz w:val="26"/>
          <w:szCs w:val="26"/>
          <w:u w:val="double"/>
        </w:rPr>
        <w:tab/>
      </w:r>
      <w:r w:rsidRPr="00EA0582">
        <w:rPr>
          <w:b/>
          <w:sz w:val="26"/>
          <w:szCs w:val="26"/>
          <w:u w:val="double"/>
        </w:rPr>
        <w:tab/>
      </w:r>
      <w:r w:rsidRPr="00EA0582">
        <w:rPr>
          <w:b/>
          <w:sz w:val="26"/>
          <w:szCs w:val="26"/>
          <w:u w:val="double"/>
        </w:rPr>
        <w:tab/>
      </w:r>
    </w:p>
    <w:p w:rsidR="000F76E9" w:rsidRDefault="000F76E9" w:rsidP="00D45301">
      <w:pPr>
        <w:rPr>
          <w:b/>
          <w:sz w:val="26"/>
          <w:szCs w:val="26"/>
          <w:u w:val="double"/>
        </w:rPr>
      </w:pPr>
    </w:p>
    <w:p w:rsidR="000F76E9" w:rsidRPr="00614396" w:rsidRDefault="000F76E9" w:rsidP="000F76E9">
      <w:pPr>
        <w:ind w:firstLine="720"/>
        <w:jc w:val="both"/>
        <w:rPr>
          <w:sz w:val="28"/>
          <w:szCs w:val="28"/>
        </w:rPr>
      </w:pPr>
      <w:r w:rsidRPr="00614396">
        <w:rPr>
          <w:i/>
          <w:iCs/>
          <w:color w:val="000000"/>
          <w:sz w:val="28"/>
          <w:szCs w:val="28"/>
        </w:rPr>
        <w:t xml:space="preserve">U.S. for the use of W.W. Gay Mechanical Contractor, Inc. v. Walbridge </w:t>
      </w:r>
      <w:proofErr w:type="spellStart"/>
      <w:r w:rsidRPr="00614396">
        <w:rPr>
          <w:i/>
          <w:iCs/>
          <w:color w:val="000000"/>
          <w:sz w:val="28"/>
          <w:szCs w:val="28"/>
        </w:rPr>
        <w:t>Aldinger</w:t>
      </w:r>
      <w:proofErr w:type="spellEnd"/>
      <w:r w:rsidRPr="00614396">
        <w:rPr>
          <w:i/>
          <w:iCs/>
          <w:color w:val="000000"/>
          <w:sz w:val="28"/>
          <w:szCs w:val="28"/>
        </w:rPr>
        <w:t xml:space="preserve"> Co.</w:t>
      </w:r>
      <w:r w:rsidRPr="00614396">
        <w:rPr>
          <w:color w:val="000000"/>
          <w:sz w:val="28"/>
          <w:szCs w:val="28"/>
        </w:rPr>
        <w:t>, 2013 WL 5859456 (1</w:t>
      </w:r>
      <w:r>
        <w:rPr>
          <w:color w:val="000000"/>
          <w:sz w:val="28"/>
          <w:szCs w:val="28"/>
        </w:rPr>
        <w:t xml:space="preserve">1th </w:t>
      </w:r>
      <w:r w:rsidRPr="00614396">
        <w:rPr>
          <w:color w:val="000000"/>
          <w:sz w:val="28"/>
          <w:szCs w:val="28"/>
        </w:rPr>
        <w:t xml:space="preserve">Cir. November 1, 2013) </w:t>
      </w:r>
      <w:r>
        <w:rPr>
          <w:color w:val="000000"/>
          <w:sz w:val="28"/>
          <w:szCs w:val="28"/>
        </w:rPr>
        <w:t xml:space="preserve">involved </w:t>
      </w:r>
      <w:r w:rsidRPr="00614396">
        <w:rPr>
          <w:color w:val="000000"/>
          <w:sz w:val="28"/>
          <w:szCs w:val="28"/>
        </w:rPr>
        <w:t>a dispute between a subcontractor and the prime contractor (and the prime contractor’s Miller Act sureties) over whether the prime contractor could set off liquidated damages claimed by the owner against money due the subcontractor.  The Court found that the prime contractor did not show any issues of fact that would allow a finding that the subcontractor was responsible for the project delays and affirmed summary judgment for the subcontractor.  The Court also affirmed an award of attorneys</w:t>
      </w:r>
      <w:r>
        <w:rPr>
          <w:color w:val="000000"/>
          <w:sz w:val="28"/>
          <w:szCs w:val="28"/>
        </w:rPr>
        <w:t>’</w:t>
      </w:r>
      <w:r w:rsidRPr="00614396">
        <w:rPr>
          <w:color w:val="000000"/>
          <w:sz w:val="28"/>
          <w:szCs w:val="28"/>
        </w:rPr>
        <w:t xml:space="preserve"> fees to the subcontractor.  </w:t>
      </w:r>
      <w:r>
        <w:rPr>
          <w:color w:val="000000"/>
          <w:sz w:val="28"/>
          <w:szCs w:val="28"/>
        </w:rPr>
        <w:t xml:space="preserve">The court awarded the subcontractor attorneys’ fees under the subcontract in accordance with section 57.105, Florida Statutes, which makes an award of fees reciprocal.  </w:t>
      </w:r>
    </w:p>
    <w:p w:rsidR="000F76E9" w:rsidRPr="00614396" w:rsidRDefault="000F76E9" w:rsidP="000F76E9">
      <w:pPr>
        <w:jc w:val="both"/>
        <w:rPr>
          <w:sz w:val="28"/>
          <w:szCs w:val="28"/>
        </w:rPr>
      </w:pPr>
    </w:p>
    <w:p w:rsidR="000F76E9" w:rsidRPr="00614396" w:rsidRDefault="000F76E9" w:rsidP="000F76E9">
      <w:pPr>
        <w:ind w:firstLine="720"/>
        <w:jc w:val="both"/>
        <w:rPr>
          <w:sz w:val="28"/>
          <w:szCs w:val="28"/>
        </w:rPr>
      </w:pPr>
      <w:r>
        <w:rPr>
          <w:iCs/>
          <w:color w:val="000000"/>
          <w:sz w:val="28"/>
          <w:szCs w:val="28"/>
        </w:rPr>
        <w:t xml:space="preserve">In </w:t>
      </w:r>
      <w:r w:rsidRPr="00614396">
        <w:rPr>
          <w:i/>
          <w:iCs/>
          <w:color w:val="000000"/>
          <w:sz w:val="28"/>
          <w:szCs w:val="28"/>
        </w:rPr>
        <w:t>Developers Surety and Indemnity Co. v. Bi-Tech Construction, Inc.</w:t>
      </w:r>
      <w:r w:rsidRPr="00614396">
        <w:rPr>
          <w:color w:val="000000"/>
          <w:sz w:val="28"/>
          <w:szCs w:val="28"/>
        </w:rPr>
        <w:t>, 2013 WL 5835412 (S.D.</w:t>
      </w:r>
      <w:r>
        <w:rPr>
          <w:color w:val="000000"/>
          <w:sz w:val="28"/>
          <w:szCs w:val="28"/>
        </w:rPr>
        <w:t xml:space="preserve"> </w:t>
      </w:r>
      <w:r w:rsidRPr="00614396">
        <w:rPr>
          <w:color w:val="000000"/>
          <w:sz w:val="28"/>
          <w:szCs w:val="28"/>
        </w:rPr>
        <w:t>Fla. October 17, 2013)</w:t>
      </w:r>
      <w:r>
        <w:rPr>
          <w:color w:val="000000"/>
          <w:sz w:val="28"/>
          <w:szCs w:val="28"/>
        </w:rPr>
        <w:t>, the Southern District</w:t>
      </w:r>
      <w:r w:rsidRPr="00614396">
        <w:rPr>
          <w:color w:val="000000"/>
          <w:sz w:val="28"/>
          <w:szCs w:val="28"/>
        </w:rPr>
        <w:t xml:space="preserve"> adopted the Report and Recommendation of the Magistrate Judge and entered judgment for the surety against the principal and inde</w:t>
      </w:r>
      <w:r>
        <w:rPr>
          <w:color w:val="000000"/>
          <w:sz w:val="28"/>
          <w:szCs w:val="28"/>
        </w:rPr>
        <w:t xml:space="preserve">mnitors.  In an earlier opinion, </w:t>
      </w:r>
      <w:r w:rsidRPr="00614396">
        <w:rPr>
          <w:color w:val="000000"/>
          <w:sz w:val="28"/>
          <w:szCs w:val="28"/>
        </w:rPr>
        <w:t>the</w:t>
      </w:r>
      <w:r>
        <w:rPr>
          <w:color w:val="000000"/>
          <w:sz w:val="28"/>
          <w:szCs w:val="28"/>
        </w:rPr>
        <w:t xml:space="preserve"> Southern District </w:t>
      </w:r>
      <w:r w:rsidRPr="00614396">
        <w:rPr>
          <w:color w:val="000000"/>
          <w:sz w:val="28"/>
          <w:szCs w:val="28"/>
        </w:rPr>
        <w:t>granted the surety a preliminary injunction freezing certain assets and ordering deposit of collateral equal to the amount of the surety’s reserve</w:t>
      </w:r>
      <w:r>
        <w:rPr>
          <w:color w:val="000000"/>
          <w:sz w:val="28"/>
          <w:szCs w:val="28"/>
        </w:rPr>
        <w:t xml:space="preserve"> because the indemnitor defendants violated the </w:t>
      </w:r>
      <w:r w:rsidRPr="00614396">
        <w:rPr>
          <w:color w:val="000000"/>
          <w:sz w:val="28"/>
          <w:szCs w:val="28"/>
        </w:rPr>
        <w:t>injunction.  The court held that funds received on the bonded job were trust funds and that they were not used as required by the trust fund provision of the indemnity agreement.  The court also held that the defendants’ actions amounted to fraud, embezzlement</w:t>
      </w:r>
      <w:r>
        <w:rPr>
          <w:color w:val="000000"/>
          <w:sz w:val="28"/>
          <w:szCs w:val="28"/>
        </w:rPr>
        <w:t>,</w:t>
      </w:r>
      <w:r w:rsidRPr="00614396">
        <w:rPr>
          <w:color w:val="000000"/>
          <w:sz w:val="28"/>
          <w:szCs w:val="28"/>
        </w:rPr>
        <w:t xml:space="preserve"> and defalcation while in a fiduciary capacity.  Although there was no bankruptcy proceeding</w:t>
      </w:r>
      <w:r>
        <w:rPr>
          <w:color w:val="000000"/>
          <w:sz w:val="28"/>
          <w:szCs w:val="28"/>
        </w:rPr>
        <w:t xml:space="preserve"> pending</w:t>
      </w:r>
      <w:r w:rsidRPr="00614396">
        <w:rPr>
          <w:color w:val="000000"/>
          <w:sz w:val="28"/>
          <w:szCs w:val="28"/>
        </w:rPr>
        <w:t>, the</w:t>
      </w:r>
      <w:r>
        <w:rPr>
          <w:color w:val="000000"/>
          <w:sz w:val="28"/>
          <w:szCs w:val="28"/>
        </w:rPr>
        <w:t xml:space="preserve"> </w:t>
      </w:r>
      <w:r>
        <w:rPr>
          <w:color w:val="000000"/>
          <w:sz w:val="28"/>
          <w:szCs w:val="28"/>
        </w:rPr>
        <w:lastRenderedPageBreak/>
        <w:t xml:space="preserve">Southern District </w:t>
      </w:r>
      <w:r w:rsidRPr="00614396">
        <w:rPr>
          <w:color w:val="000000"/>
          <w:sz w:val="28"/>
          <w:szCs w:val="28"/>
        </w:rPr>
        <w:t xml:space="preserve">effectively barred discharge of the surety’s judgment against the </w:t>
      </w:r>
      <w:r>
        <w:rPr>
          <w:color w:val="000000"/>
          <w:sz w:val="28"/>
          <w:szCs w:val="28"/>
        </w:rPr>
        <w:t xml:space="preserve">indemnitors if </w:t>
      </w:r>
      <w:r w:rsidRPr="00614396">
        <w:rPr>
          <w:color w:val="000000"/>
          <w:sz w:val="28"/>
          <w:szCs w:val="28"/>
        </w:rPr>
        <w:t>they file for bankruptcy in the future.</w:t>
      </w:r>
    </w:p>
    <w:p w:rsidR="000F76E9" w:rsidRPr="00614396" w:rsidRDefault="000F76E9" w:rsidP="000F76E9">
      <w:pPr>
        <w:jc w:val="both"/>
        <w:rPr>
          <w:sz w:val="28"/>
          <w:szCs w:val="28"/>
        </w:rPr>
      </w:pPr>
    </w:p>
    <w:p w:rsidR="000F76E9" w:rsidRPr="00D45301" w:rsidRDefault="000F76E9" w:rsidP="000F76E9">
      <w:pPr>
        <w:ind w:firstLine="720"/>
        <w:jc w:val="both"/>
        <w:rPr>
          <w:b/>
          <w:sz w:val="26"/>
          <w:szCs w:val="26"/>
          <w:u w:val="double"/>
        </w:rPr>
      </w:pPr>
      <w:r w:rsidRPr="00614396">
        <w:rPr>
          <w:color w:val="000000"/>
          <w:sz w:val="28"/>
          <w:szCs w:val="28"/>
        </w:rPr>
        <w:t xml:space="preserve">In </w:t>
      </w:r>
      <w:r w:rsidRPr="00614396">
        <w:rPr>
          <w:i/>
          <w:iCs/>
          <w:color w:val="000000"/>
          <w:sz w:val="28"/>
          <w:szCs w:val="28"/>
        </w:rPr>
        <w:t>U.S. for the use of Tarmac America, LLC v. Pro Way Paving Systems, Inc.</w:t>
      </w:r>
      <w:r w:rsidRPr="00614396">
        <w:rPr>
          <w:color w:val="000000"/>
          <w:sz w:val="28"/>
          <w:szCs w:val="28"/>
        </w:rPr>
        <w:t>, Case No. 8:12-cv-867 (M.D.</w:t>
      </w:r>
      <w:r>
        <w:rPr>
          <w:color w:val="000000"/>
          <w:sz w:val="28"/>
          <w:szCs w:val="28"/>
        </w:rPr>
        <w:t xml:space="preserve"> Fla. October 15, 2013) the</w:t>
      </w:r>
      <w:r w:rsidRPr="00614396">
        <w:rPr>
          <w:color w:val="000000"/>
          <w:sz w:val="28"/>
          <w:szCs w:val="28"/>
        </w:rPr>
        <w:t xml:space="preserve"> subcontractor filed a cross claim against the prime contractor and its </w:t>
      </w:r>
      <w:r>
        <w:rPr>
          <w:color w:val="000000"/>
          <w:sz w:val="28"/>
          <w:szCs w:val="28"/>
        </w:rPr>
        <w:t xml:space="preserve">Miller Act surety.  The surety </w:t>
      </w:r>
      <w:r w:rsidRPr="00614396">
        <w:rPr>
          <w:color w:val="000000"/>
          <w:sz w:val="28"/>
          <w:szCs w:val="28"/>
        </w:rPr>
        <w:t xml:space="preserve">was placed into receivership and then </w:t>
      </w:r>
      <w:r>
        <w:rPr>
          <w:color w:val="000000"/>
          <w:sz w:val="28"/>
          <w:szCs w:val="28"/>
        </w:rPr>
        <w:t xml:space="preserve">into </w:t>
      </w:r>
      <w:r w:rsidRPr="00614396">
        <w:rPr>
          <w:color w:val="000000"/>
          <w:sz w:val="28"/>
          <w:szCs w:val="28"/>
        </w:rPr>
        <w:t xml:space="preserve">liquidation by the Delaware Chancery Court.  The Delaware Court’s Order prohibited all actions against the surety and directed that all claims </w:t>
      </w:r>
      <w:r>
        <w:rPr>
          <w:color w:val="000000"/>
          <w:sz w:val="28"/>
          <w:szCs w:val="28"/>
        </w:rPr>
        <w:t>were</w:t>
      </w:r>
      <w:r w:rsidRPr="00614396">
        <w:rPr>
          <w:color w:val="000000"/>
          <w:sz w:val="28"/>
          <w:szCs w:val="28"/>
        </w:rPr>
        <w:t xml:space="preserve"> to be pursued in the Delaware liquidation proceeding.  The prime contractor and surety moved for a permanent stay of the Miller Act claims.  The court found that the federal district courts have exclusive jurisdiction under the Miller Act and stated, “</w:t>
      </w:r>
      <w:proofErr w:type="gramStart"/>
      <w:r w:rsidRPr="00614396">
        <w:rPr>
          <w:color w:val="000000"/>
          <w:sz w:val="28"/>
          <w:szCs w:val="28"/>
        </w:rPr>
        <w:t>despite</w:t>
      </w:r>
      <w:proofErr w:type="gramEnd"/>
      <w:r w:rsidRPr="00614396">
        <w:rPr>
          <w:color w:val="000000"/>
          <w:sz w:val="28"/>
          <w:szCs w:val="28"/>
        </w:rPr>
        <w:t xml:space="preserve"> the instructions in the Liquidation and Injunction Order, the Miller Act claims involving </w:t>
      </w:r>
      <w:proofErr w:type="spellStart"/>
      <w:r w:rsidRPr="00614396">
        <w:rPr>
          <w:color w:val="000000"/>
          <w:sz w:val="28"/>
          <w:szCs w:val="28"/>
        </w:rPr>
        <w:t>Ullico</w:t>
      </w:r>
      <w:proofErr w:type="spellEnd"/>
      <w:r w:rsidRPr="00614396">
        <w:rPr>
          <w:color w:val="000000"/>
          <w:sz w:val="28"/>
          <w:szCs w:val="28"/>
        </w:rPr>
        <w:t xml:space="preserve"> may not be brought in the liquidation proceedings pending before the Delaware Court of Chancery.”  The court </w:t>
      </w:r>
      <w:r>
        <w:rPr>
          <w:color w:val="000000"/>
          <w:sz w:val="28"/>
          <w:szCs w:val="28"/>
        </w:rPr>
        <w:t>Middle District reasoned that</w:t>
      </w:r>
      <w:r w:rsidRPr="00614396">
        <w:rPr>
          <w:color w:val="000000"/>
          <w:sz w:val="28"/>
          <w:szCs w:val="28"/>
        </w:rPr>
        <w:t xml:space="preserve"> the purpose of the liquidation proceeding was to distribute </w:t>
      </w:r>
      <w:proofErr w:type="spellStart"/>
      <w:r w:rsidRPr="00614396">
        <w:rPr>
          <w:color w:val="000000"/>
          <w:sz w:val="28"/>
          <w:szCs w:val="28"/>
        </w:rPr>
        <w:t>Ullico’s</w:t>
      </w:r>
      <w:proofErr w:type="spellEnd"/>
      <w:r w:rsidRPr="00614396">
        <w:rPr>
          <w:color w:val="000000"/>
          <w:sz w:val="28"/>
          <w:szCs w:val="28"/>
        </w:rPr>
        <w:t xml:space="preserve"> assets among its creditors whereas the case before it was to determine what </w:t>
      </w:r>
      <w:proofErr w:type="spellStart"/>
      <w:r w:rsidRPr="00614396">
        <w:rPr>
          <w:color w:val="000000"/>
          <w:sz w:val="28"/>
          <w:szCs w:val="28"/>
        </w:rPr>
        <w:t>Ullico</w:t>
      </w:r>
      <w:proofErr w:type="spellEnd"/>
      <w:r w:rsidRPr="00614396">
        <w:rPr>
          <w:color w:val="000000"/>
          <w:sz w:val="28"/>
          <w:szCs w:val="28"/>
        </w:rPr>
        <w:t xml:space="preserve"> owed on the Miller Act payment bond.  Thus “notions of comity and federalism” would not be violated because the claim in the liquidation proceeding would be a liquidated amount established by the federal court rather than a contested claim which the liquidator would not have the authority to resolve.  The court denied the motion for a permanent stay and directed the parties to submit a new proposed case management order.</w:t>
      </w:r>
    </w:p>
    <w:sectPr w:rsidR="000F76E9" w:rsidRPr="00D45301" w:rsidSect="00BA6C5C">
      <w:footerReference w:type="default" r:id="rId8"/>
      <w:pgSz w:w="12240" w:h="15840"/>
      <w:pgMar w:top="1440" w:right="1440" w:bottom="63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301" w:rsidRDefault="00D45301" w:rsidP="005B468A">
      <w:r>
        <w:separator/>
      </w:r>
    </w:p>
  </w:endnote>
  <w:endnote w:type="continuationSeparator" w:id="0">
    <w:p w:rsidR="00D45301" w:rsidRDefault="00D45301" w:rsidP="005B46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264204"/>
      <w:docPartObj>
        <w:docPartGallery w:val="Page Numbers (Bottom of Page)"/>
        <w:docPartUnique/>
      </w:docPartObj>
    </w:sdtPr>
    <w:sdtContent>
      <w:p w:rsidR="00D45301" w:rsidRDefault="0051441A">
        <w:pPr>
          <w:pStyle w:val="Footer"/>
          <w:jc w:val="center"/>
        </w:pPr>
        <w:fldSimple w:instr=" PAGE   \* MERGEFORMAT ">
          <w:r w:rsidR="000F76E9">
            <w:rPr>
              <w:noProof/>
            </w:rPr>
            <w:t>2</w:t>
          </w:r>
        </w:fldSimple>
      </w:p>
    </w:sdtContent>
  </w:sdt>
  <w:p w:rsidR="00D45301" w:rsidRDefault="00D453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301" w:rsidRDefault="00D45301" w:rsidP="005B468A">
      <w:r>
        <w:separator/>
      </w:r>
    </w:p>
  </w:footnote>
  <w:footnote w:type="continuationSeparator" w:id="0">
    <w:p w:rsidR="00D45301" w:rsidRDefault="00D45301" w:rsidP="005B46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B7B2E"/>
    <w:rsid w:val="00015709"/>
    <w:rsid w:val="00065E45"/>
    <w:rsid w:val="000F76E9"/>
    <w:rsid w:val="0010472C"/>
    <w:rsid w:val="00114DA2"/>
    <w:rsid w:val="001759BA"/>
    <w:rsid w:val="001C546D"/>
    <w:rsid w:val="002019E6"/>
    <w:rsid w:val="00241D4C"/>
    <w:rsid w:val="00281735"/>
    <w:rsid w:val="002B2108"/>
    <w:rsid w:val="0034011E"/>
    <w:rsid w:val="00342C5E"/>
    <w:rsid w:val="00365F81"/>
    <w:rsid w:val="0041306C"/>
    <w:rsid w:val="00413779"/>
    <w:rsid w:val="00477B6E"/>
    <w:rsid w:val="00487F49"/>
    <w:rsid w:val="004B616C"/>
    <w:rsid w:val="0051441A"/>
    <w:rsid w:val="005A5876"/>
    <w:rsid w:val="005B468A"/>
    <w:rsid w:val="005E3916"/>
    <w:rsid w:val="00694005"/>
    <w:rsid w:val="006A00DD"/>
    <w:rsid w:val="006D1909"/>
    <w:rsid w:val="007B7B2E"/>
    <w:rsid w:val="0080477B"/>
    <w:rsid w:val="00837D33"/>
    <w:rsid w:val="008F485F"/>
    <w:rsid w:val="0091533E"/>
    <w:rsid w:val="00934BE0"/>
    <w:rsid w:val="00973653"/>
    <w:rsid w:val="00976C44"/>
    <w:rsid w:val="009A2F67"/>
    <w:rsid w:val="00AF721E"/>
    <w:rsid w:val="00B47703"/>
    <w:rsid w:val="00B91135"/>
    <w:rsid w:val="00BA6C5C"/>
    <w:rsid w:val="00BA6E2A"/>
    <w:rsid w:val="00C30C47"/>
    <w:rsid w:val="00C608E2"/>
    <w:rsid w:val="00CC4D3A"/>
    <w:rsid w:val="00CE6989"/>
    <w:rsid w:val="00D00ED5"/>
    <w:rsid w:val="00D13DFA"/>
    <w:rsid w:val="00D45301"/>
    <w:rsid w:val="00D576BC"/>
    <w:rsid w:val="00E40536"/>
    <w:rsid w:val="00E63854"/>
    <w:rsid w:val="00E736AB"/>
    <w:rsid w:val="00EA0582"/>
    <w:rsid w:val="00F40A85"/>
    <w:rsid w:val="00F55B19"/>
    <w:rsid w:val="00F643B7"/>
    <w:rsid w:val="00F71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2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876"/>
    <w:rPr>
      <w:rFonts w:ascii="Tahoma" w:hAnsi="Tahoma" w:cs="Tahoma"/>
      <w:sz w:val="16"/>
      <w:szCs w:val="16"/>
    </w:rPr>
  </w:style>
  <w:style w:type="character" w:customStyle="1" w:styleId="BalloonTextChar">
    <w:name w:val="Balloon Text Char"/>
    <w:basedOn w:val="DefaultParagraphFont"/>
    <w:link w:val="BalloonText"/>
    <w:uiPriority w:val="99"/>
    <w:semiHidden/>
    <w:rsid w:val="005A5876"/>
    <w:rPr>
      <w:rFonts w:ascii="Tahoma" w:hAnsi="Tahoma" w:cs="Tahoma"/>
      <w:sz w:val="16"/>
      <w:szCs w:val="16"/>
    </w:rPr>
  </w:style>
  <w:style w:type="paragraph" w:styleId="Header">
    <w:name w:val="header"/>
    <w:basedOn w:val="Normal"/>
    <w:link w:val="HeaderChar"/>
    <w:uiPriority w:val="99"/>
    <w:semiHidden/>
    <w:unhideWhenUsed/>
    <w:rsid w:val="005B468A"/>
    <w:pPr>
      <w:tabs>
        <w:tab w:val="center" w:pos="4680"/>
        <w:tab w:val="right" w:pos="9360"/>
      </w:tabs>
    </w:pPr>
  </w:style>
  <w:style w:type="character" w:customStyle="1" w:styleId="HeaderChar">
    <w:name w:val="Header Char"/>
    <w:basedOn w:val="DefaultParagraphFont"/>
    <w:link w:val="Header"/>
    <w:uiPriority w:val="99"/>
    <w:semiHidden/>
    <w:rsid w:val="005B468A"/>
    <w:rPr>
      <w:rFonts w:ascii="Times New Roman" w:hAnsi="Times New Roman" w:cs="Times New Roman"/>
      <w:sz w:val="24"/>
      <w:szCs w:val="24"/>
    </w:rPr>
  </w:style>
  <w:style w:type="paragraph" w:styleId="Footer">
    <w:name w:val="footer"/>
    <w:basedOn w:val="Normal"/>
    <w:link w:val="FooterChar"/>
    <w:uiPriority w:val="99"/>
    <w:unhideWhenUsed/>
    <w:rsid w:val="005B468A"/>
    <w:pPr>
      <w:tabs>
        <w:tab w:val="center" w:pos="4680"/>
        <w:tab w:val="right" w:pos="9360"/>
      </w:tabs>
    </w:pPr>
  </w:style>
  <w:style w:type="character" w:customStyle="1" w:styleId="FooterChar">
    <w:name w:val="Footer Char"/>
    <w:basedOn w:val="DefaultParagraphFont"/>
    <w:link w:val="Footer"/>
    <w:uiPriority w:val="99"/>
    <w:rsid w:val="005B468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0045996">
      <w:bodyDiv w:val="1"/>
      <w:marLeft w:val="0"/>
      <w:marRight w:val="0"/>
      <w:marTop w:val="0"/>
      <w:marBottom w:val="0"/>
      <w:divBdr>
        <w:top w:val="none" w:sz="0" w:space="0" w:color="auto"/>
        <w:left w:val="none" w:sz="0" w:space="0" w:color="auto"/>
        <w:bottom w:val="none" w:sz="0" w:space="0" w:color="auto"/>
        <w:right w:val="none" w:sz="0" w:space="0" w:color="auto"/>
      </w:divBdr>
    </w:div>
    <w:div w:id="450127778">
      <w:bodyDiv w:val="1"/>
      <w:marLeft w:val="0"/>
      <w:marRight w:val="0"/>
      <w:marTop w:val="0"/>
      <w:marBottom w:val="0"/>
      <w:divBdr>
        <w:top w:val="none" w:sz="0" w:space="0" w:color="auto"/>
        <w:left w:val="none" w:sz="0" w:space="0" w:color="auto"/>
        <w:bottom w:val="none" w:sz="0" w:space="0" w:color="auto"/>
        <w:right w:val="none" w:sz="0" w:space="0" w:color="auto"/>
      </w:divBdr>
    </w:div>
    <w:div w:id="594483427">
      <w:bodyDiv w:val="1"/>
      <w:marLeft w:val="0"/>
      <w:marRight w:val="0"/>
      <w:marTop w:val="0"/>
      <w:marBottom w:val="0"/>
      <w:divBdr>
        <w:top w:val="none" w:sz="0" w:space="0" w:color="auto"/>
        <w:left w:val="none" w:sz="0" w:space="0" w:color="auto"/>
        <w:bottom w:val="none" w:sz="0" w:space="0" w:color="auto"/>
        <w:right w:val="none" w:sz="0" w:space="0" w:color="auto"/>
      </w:divBdr>
    </w:div>
    <w:div w:id="630525109">
      <w:bodyDiv w:val="1"/>
      <w:marLeft w:val="0"/>
      <w:marRight w:val="0"/>
      <w:marTop w:val="0"/>
      <w:marBottom w:val="0"/>
      <w:divBdr>
        <w:top w:val="none" w:sz="0" w:space="0" w:color="auto"/>
        <w:left w:val="none" w:sz="0" w:space="0" w:color="auto"/>
        <w:bottom w:val="none" w:sz="0" w:space="0" w:color="auto"/>
        <w:right w:val="none" w:sz="0" w:space="0" w:color="auto"/>
      </w:divBdr>
    </w:div>
    <w:div w:id="759301971">
      <w:bodyDiv w:val="1"/>
      <w:marLeft w:val="0"/>
      <w:marRight w:val="0"/>
      <w:marTop w:val="0"/>
      <w:marBottom w:val="0"/>
      <w:divBdr>
        <w:top w:val="none" w:sz="0" w:space="0" w:color="auto"/>
        <w:left w:val="none" w:sz="0" w:space="0" w:color="auto"/>
        <w:bottom w:val="none" w:sz="0" w:space="0" w:color="auto"/>
        <w:right w:val="none" w:sz="0" w:space="0" w:color="auto"/>
      </w:divBdr>
    </w:div>
    <w:div w:id="976909387">
      <w:bodyDiv w:val="1"/>
      <w:marLeft w:val="0"/>
      <w:marRight w:val="0"/>
      <w:marTop w:val="0"/>
      <w:marBottom w:val="0"/>
      <w:divBdr>
        <w:top w:val="none" w:sz="0" w:space="0" w:color="auto"/>
        <w:left w:val="none" w:sz="0" w:space="0" w:color="auto"/>
        <w:bottom w:val="none" w:sz="0" w:space="0" w:color="auto"/>
        <w:right w:val="none" w:sz="0" w:space="0" w:color="auto"/>
      </w:divBdr>
    </w:div>
    <w:div w:id="993682467">
      <w:bodyDiv w:val="1"/>
      <w:marLeft w:val="0"/>
      <w:marRight w:val="0"/>
      <w:marTop w:val="0"/>
      <w:marBottom w:val="0"/>
      <w:divBdr>
        <w:top w:val="none" w:sz="0" w:space="0" w:color="auto"/>
        <w:left w:val="none" w:sz="0" w:space="0" w:color="auto"/>
        <w:bottom w:val="none" w:sz="0" w:space="0" w:color="auto"/>
        <w:right w:val="none" w:sz="0" w:space="0" w:color="auto"/>
      </w:divBdr>
    </w:div>
    <w:div w:id="1064572192">
      <w:bodyDiv w:val="1"/>
      <w:marLeft w:val="0"/>
      <w:marRight w:val="0"/>
      <w:marTop w:val="0"/>
      <w:marBottom w:val="0"/>
      <w:divBdr>
        <w:top w:val="none" w:sz="0" w:space="0" w:color="auto"/>
        <w:left w:val="none" w:sz="0" w:space="0" w:color="auto"/>
        <w:bottom w:val="none" w:sz="0" w:space="0" w:color="auto"/>
        <w:right w:val="none" w:sz="0" w:space="0" w:color="auto"/>
      </w:divBdr>
    </w:div>
    <w:div w:id="1409115812">
      <w:bodyDiv w:val="1"/>
      <w:marLeft w:val="0"/>
      <w:marRight w:val="0"/>
      <w:marTop w:val="0"/>
      <w:marBottom w:val="0"/>
      <w:divBdr>
        <w:top w:val="none" w:sz="0" w:space="0" w:color="auto"/>
        <w:left w:val="none" w:sz="0" w:space="0" w:color="auto"/>
        <w:bottom w:val="none" w:sz="0" w:space="0" w:color="auto"/>
        <w:right w:val="none" w:sz="0" w:space="0" w:color="auto"/>
      </w:divBdr>
    </w:div>
    <w:div w:id="1547059756">
      <w:bodyDiv w:val="1"/>
      <w:marLeft w:val="0"/>
      <w:marRight w:val="0"/>
      <w:marTop w:val="0"/>
      <w:marBottom w:val="0"/>
      <w:divBdr>
        <w:top w:val="none" w:sz="0" w:space="0" w:color="auto"/>
        <w:left w:val="none" w:sz="0" w:space="0" w:color="auto"/>
        <w:bottom w:val="none" w:sz="0" w:space="0" w:color="auto"/>
        <w:right w:val="none" w:sz="0" w:space="0" w:color="auto"/>
      </w:divBdr>
    </w:div>
    <w:div w:id="1633824285">
      <w:bodyDiv w:val="1"/>
      <w:marLeft w:val="0"/>
      <w:marRight w:val="0"/>
      <w:marTop w:val="0"/>
      <w:marBottom w:val="0"/>
      <w:divBdr>
        <w:top w:val="none" w:sz="0" w:space="0" w:color="auto"/>
        <w:left w:val="none" w:sz="0" w:space="0" w:color="auto"/>
        <w:bottom w:val="none" w:sz="0" w:space="0" w:color="auto"/>
        <w:right w:val="none" w:sz="0" w:space="0" w:color="auto"/>
      </w:divBdr>
      <w:divsChild>
        <w:div w:id="1129515535">
          <w:marLeft w:val="0"/>
          <w:marRight w:val="0"/>
          <w:marTop w:val="0"/>
          <w:marBottom w:val="0"/>
          <w:divBdr>
            <w:top w:val="none" w:sz="0" w:space="0" w:color="auto"/>
            <w:left w:val="single" w:sz="4" w:space="0" w:color="BBBBBB"/>
            <w:bottom w:val="single" w:sz="4" w:space="0" w:color="BBBBBB"/>
            <w:right w:val="single" w:sz="4" w:space="0" w:color="BBBBBB"/>
          </w:divBdr>
          <w:divsChild>
            <w:div w:id="600185466">
              <w:marLeft w:val="0"/>
              <w:marRight w:val="0"/>
              <w:marTop w:val="0"/>
              <w:marBottom w:val="0"/>
              <w:divBdr>
                <w:top w:val="none" w:sz="0" w:space="0" w:color="auto"/>
                <w:left w:val="none" w:sz="0" w:space="0" w:color="auto"/>
                <w:bottom w:val="none" w:sz="0" w:space="0" w:color="auto"/>
                <w:right w:val="none" w:sz="0" w:space="0" w:color="auto"/>
              </w:divBdr>
              <w:divsChild>
                <w:div w:id="137112406">
                  <w:marLeft w:val="0"/>
                  <w:marRight w:val="0"/>
                  <w:marTop w:val="0"/>
                  <w:marBottom w:val="0"/>
                  <w:divBdr>
                    <w:top w:val="none" w:sz="0" w:space="0" w:color="auto"/>
                    <w:left w:val="none" w:sz="0" w:space="0" w:color="auto"/>
                    <w:bottom w:val="none" w:sz="0" w:space="0" w:color="auto"/>
                    <w:right w:val="none" w:sz="0" w:space="0" w:color="auto"/>
                  </w:divBdr>
                  <w:divsChild>
                    <w:div w:id="1025323432">
                      <w:marLeft w:val="0"/>
                      <w:marRight w:val="0"/>
                      <w:marTop w:val="0"/>
                      <w:marBottom w:val="0"/>
                      <w:divBdr>
                        <w:top w:val="none" w:sz="0" w:space="0" w:color="auto"/>
                        <w:left w:val="none" w:sz="0" w:space="0" w:color="auto"/>
                        <w:bottom w:val="none" w:sz="0" w:space="0" w:color="auto"/>
                        <w:right w:val="none" w:sz="0" w:space="0" w:color="auto"/>
                      </w:divBdr>
                      <w:divsChild>
                        <w:div w:id="1522552769">
                          <w:marLeft w:val="0"/>
                          <w:marRight w:val="0"/>
                          <w:marTop w:val="0"/>
                          <w:marBottom w:val="0"/>
                          <w:divBdr>
                            <w:top w:val="none" w:sz="0" w:space="0" w:color="auto"/>
                            <w:left w:val="none" w:sz="0" w:space="0" w:color="auto"/>
                            <w:bottom w:val="none" w:sz="0" w:space="0" w:color="auto"/>
                            <w:right w:val="none" w:sz="0" w:space="0" w:color="auto"/>
                          </w:divBdr>
                          <w:divsChild>
                            <w:div w:id="718629394">
                              <w:marLeft w:val="0"/>
                              <w:marRight w:val="0"/>
                              <w:marTop w:val="0"/>
                              <w:marBottom w:val="0"/>
                              <w:divBdr>
                                <w:top w:val="none" w:sz="0" w:space="0" w:color="auto"/>
                                <w:left w:val="none" w:sz="0" w:space="0" w:color="auto"/>
                                <w:bottom w:val="none" w:sz="0" w:space="0" w:color="auto"/>
                                <w:right w:val="none" w:sz="0" w:space="0" w:color="auto"/>
                              </w:divBdr>
                              <w:divsChild>
                                <w:div w:id="511187284">
                                  <w:marLeft w:val="0"/>
                                  <w:marRight w:val="0"/>
                                  <w:marTop w:val="0"/>
                                  <w:marBottom w:val="0"/>
                                  <w:divBdr>
                                    <w:top w:val="none" w:sz="0" w:space="0" w:color="auto"/>
                                    <w:left w:val="none" w:sz="0" w:space="0" w:color="auto"/>
                                    <w:bottom w:val="none" w:sz="0" w:space="0" w:color="auto"/>
                                    <w:right w:val="none" w:sz="0" w:space="0" w:color="auto"/>
                                  </w:divBdr>
                                  <w:divsChild>
                                    <w:div w:id="1030300251">
                                      <w:marLeft w:val="0"/>
                                      <w:marRight w:val="0"/>
                                      <w:marTop w:val="0"/>
                                      <w:marBottom w:val="0"/>
                                      <w:divBdr>
                                        <w:top w:val="none" w:sz="0" w:space="0" w:color="auto"/>
                                        <w:left w:val="none" w:sz="0" w:space="0" w:color="auto"/>
                                        <w:bottom w:val="none" w:sz="0" w:space="0" w:color="auto"/>
                                        <w:right w:val="none" w:sz="0" w:space="0" w:color="auto"/>
                                      </w:divBdr>
                                      <w:divsChild>
                                        <w:div w:id="351224241">
                                          <w:marLeft w:val="1002"/>
                                          <w:marRight w:val="1002"/>
                                          <w:marTop w:val="0"/>
                                          <w:marBottom w:val="0"/>
                                          <w:divBdr>
                                            <w:top w:val="none" w:sz="0" w:space="0" w:color="auto"/>
                                            <w:left w:val="none" w:sz="0" w:space="0" w:color="auto"/>
                                            <w:bottom w:val="none" w:sz="0" w:space="0" w:color="auto"/>
                                            <w:right w:val="none" w:sz="0" w:space="0" w:color="auto"/>
                                          </w:divBdr>
                                          <w:divsChild>
                                            <w:div w:id="5353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3315600">
      <w:bodyDiv w:val="1"/>
      <w:marLeft w:val="0"/>
      <w:marRight w:val="0"/>
      <w:marTop w:val="0"/>
      <w:marBottom w:val="0"/>
      <w:divBdr>
        <w:top w:val="none" w:sz="0" w:space="0" w:color="auto"/>
        <w:left w:val="none" w:sz="0" w:space="0" w:color="auto"/>
        <w:bottom w:val="none" w:sz="0" w:space="0" w:color="auto"/>
        <w:right w:val="none" w:sz="0" w:space="0" w:color="auto"/>
      </w:divBdr>
    </w:div>
    <w:div w:id="1712537985">
      <w:bodyDiv w:val="1"/>
      <w:marLeft w:val="0"/>
      <w:marRight w:val="0"/>
      <w:marTop w:val="0"/>
      <w:marBottom w:val="0"/>
      <w:divBdr>
        <w:top w:val="none" w:sz="0" w:space="0" w:color="auto"/>
        <w:left w:val="none" w:sz="0" w:space="0" w:color="auto"/>
        <w:bottom w:val="none" w:sz="0" w:space="0" w:color="auto"/>
        <w:right w:val="none" w:sz="0" w:space="0" w:color="auto"/>
      </w:divBdr>
    </w:div>
    <w:div w:id="1726298239">
      <w:bodyDiv w:val="1"/>
      <w:marLeft w:val="0"/>
      <w:marRight w:val="0"/>
      <w:marTop w:val="0"/>
      <w:marBottom w:val="0"/>
      <w:divBdr>
        <w:top w:val="none" w:sz="0" w:space="0" w:color="auto"/>
        <w:left w:val="none" w:sz="0" w:space="0" w:color="auto"/>
        <w:bottom w:val="none" w:sz="0" w:space="0" w:color="auto"/>
        <w:right w:val="none" w:sz="0" w:space="0" w:color="auto"/>
      </w:divBdr>
    </w:div>
    <w:div w:id="1774087893">
      <w:bodyDiv w:val="1"/>
      <w:marLeft w:val="0"/>
      <w:marRight w:val="0"/>
      <w:marTop w:val="0"/>
      <w:marBottom w:val="0"/>
      <w:divBdr>
        <w:top w:val="none" w:sz="0" w:space="0" w:color="auto"/>
        <w:left w:val="none" w:sz="0" w:space="0" w:color="auto"/>
        <w:bottom w:val="none" w:sz="0" w:space="0" w:color="auto"/>
        <w:right w:val="none" w:sz="0" w:space="0" w:color="auto"/>
      </w:divBdr>
    </w:div>
    <w:div w:id="1862159734">
      <w:bodyDiv w:val="1"/>
      <w:marLeft w:val="0"/>
      <w:marRight w:val="0"/>
      <w:marTop w:val="0"/>
      <w:marBottom w:val="0"/>
      <w:divBdr>
        <w:top w:val="none" w:sz="0" w:space="0" w:color="auto"/>
        <w:left w:val="none" w:sz="0" w:space="0" w:color="auto"/>
        <w:bottom w:val="none" w:sz="0" w:space="0" w:color="auto"/>
        <w:right w:val="none" w:sz="0" w:space="0" w:color="auto"/>
      </w:divBdr>
    </w:div>
    <w:div w:id="209292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B830C-D6B2-40B1-AFCA-F4066F99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MPD Legal</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tthompson</dc:creator>
  <cp:keywords/>
  <dc:description/>
  <cp:lastModifiedBy>tthompson</cp:lastModifiedBy>
  <cp:revision>2</cp:revision>
  <dcterms:created xsi:type="dcterms:W3CDTF">2013-11-11T13:51:00Z</dcterms:created>
  <dcterms:modified xsi:type="dcterms:W3CDTF">2013-11-11T13:51:00Z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572684</vt:i4>
  </property>
  <property fmtid="{D5CDD505-2E9C-101B-9397-08002B2CF9AE}" pid="3" name="CaseSk">
    <vt:i4>3014</vt:i4>
  </property>
  <property fmtid="{D5CDD505-2E9C-101B-9397-08002B2CF9AE}" pid="4" name="Version">
    <vt:i4>0</vt:i4>
  </property>
</Properties>
</file>