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286B5F">
      <w:pPr>
        <w:pStyle w:val="BlockText"/>
        <w:jc w:val="center"/>
      </w:pPr>
      <w:r>
        <w:t>Month of</w:t>
      </w:r>
      <w:r w:rsidR="00F820A6">
        <w:t xml:space="preserve"> November</w:t>
      </w:r>
      <w:r w:rsidR="007D14A8">
        <w:t xml:space="preserve"> </w:t>
      </w:r>
      <w:r w:rsidR="00FA0D68">
        <w:t>2013</w:t>
      </w:r>
    </w:p>
    <w:p w:rsidR="006F4CE9" w:rsidRDefault="006F4CE9" w:rsidP="00D9771C">
      <w:pPr>
        <w:pStyle w:val="BlockText"/>
        <w:rPr>
          <w:b/>
          <w:u w:val="single"/>
        </w:rPr>
      </w:pPr>
    </w:p>
    <w:p w:rsidR="007F16BD" w:rsidRDefault="009F4440" w:rsidP="007D14A8">
      <w:pPr>
        <w:pStyle w:val="BlockText"/>
        <w:rPr>
          <w:b/>
          <w:u w:val="single"/>
        </w:rPr>
      </w:pPr>
      <w:r>
        <w:rPr>
          <w:b/>
          <w:u w:val="single"/>
        </w:rPr>
        <w:t xml:space="preserve">State </w:t>
      </w:r>
      <w:r w:rsidR="00D9771C" w:rsidRPr="00D9771C">
        <w:rPr>
          <w:b/>
          <w:u w:val="single"/>
        </w:rPr>
        <w:t>Appellate Decisions:</w:t>
      </w:r>
    </w:p>
    <w:p w:rsidR="00FD2F47" w:rsidRDefault="00FD2F47" w:rsidP="007D14A8">
      <w:pPr>
        <w:pStyle w:val="BlockText"/>
        <w:rPr>
          <w:b/>
          <w:u w:val="single"/>
        </w:rPr>
      </w:pPr>
    </w:p>
    <w:p w:rsidR="00FD2F47" w:rsidRDefault="00F820A6" w:rsidP="00F419B2">
      <w:pPr>
        <w:pStyle w:val="BlockText"/>
      </w:pPr>
      <w:r>
        <w:tab/>
      </w:r>
      <w:r w:rsidRPr="00F820A6">
        <w:rPr>
          <w:i/>
          <w:u w:val="single"/>
        </w:rPr>
        <w:t>Maronda Homes, Inc. of Florida, et. al. v. Lakeview Reserve Homeowners Association, Inc., etc.</w:t>
      </w:r>
      <w:r>
        <w:t>, 38 Fla. La. Weekly S859a, Case No. SC10-2336, Florida Supreme Court, REVISED OPINION filed on November 21, 2013 (Original Opinion at 38 Fla. L. Weekly S573a): T. D. Thomson Construction Company's Motion for Rehearing is granted in part.</w:t>
      </w:r>
    </w:p>
    <w:p w:rsidR="00F820A6" w:rsidRDefault="00F820A6" w:rsidP="00F419B2">
      <w:pPr>
        <w:pStyle w:val="BlockText"/>
      </w:pPr>
    </w:p>
    <w:p w:rsidR="00F820A6" w:rsidRDefault="00F820A6" w:rsidP="00F419B2">
      <w:pPr>
        <w:pStyle w:val="BlockText"/>
      </w:pPr>
      <w:r>
        <w:tab/>
      </w:r>
      <w:r w:rsidRPr="00F820A6">
        <w:rPr>
          <w:i/>
          <w:u w:val="single"/>
        </w:rPr>
        <w:t>Clearwater Housing Authority v. Future Capital Holding Corporation, et. al.</w:t>
      </w:r>
      <w:r>
        <w:t xml:space="preserve">, 38 Fla. L. </w:t>
      </w:r>
      <w:r>
        <w:br/>
        <w:t>Weekly D232a, Case No. 2D12-5515, filed November 8, 2013: Summary Judgment in favor of defendant contractor based on 10-year Statute of Repose was REVERSED AND REMANDED for determination of material fact as to date of completion of design contract pursuant to s. 95.11, which date may have occurred several years after issuance of certificate of occupancy and actual possession by owner.</w:t>
      </w:r>
    </w:p>
    <w:p w:rsidR="00F820A6" w:rsidRDefault="00F820A6" w:rsidP="00F419B2">
      <w:pPr>
        <w:pStyle w:val="BlockText"/>
      </w:pPr>
    </w:p>
    <w:p w:rsidR="00F820A6" w:rsidRDefault="00F820A6" w:rsidP="00F419B2">
      <w:pPr>
        <w:pStyle w:val="BlockText"/>
      </w:pPr>
      <w:r>
        <w:tab/>
      </w:r>
      <w:r w:rsidR="003E09D4" w:rsidRPr="003E09D4">
        <w:rPr>
          <w:i/>
          <w:u w:val="single"/>
        </w:rPr>
        <w:t>Carlos M. Gonzalez v. Department of Health</w:t>
      </w:r>
      <w:r w:rsidR="003E09D4">
        <w:t>, Case No. 1D12-3888, filed November 12, 2013 [also see eelier appeal reported at 120 So. 3d 234 (Fla. 1</w:t>
      </w:r>
      <w:r w:rsidR="003E09D4" w:rsidRPr="003E09D4">
        <w:rPr>
          <w:vertAlign w:val="superscript"/>
        </w:rPr>
        <w:t>st</w:t>
      </w:r>
      <w:r w:rsidR="00CF2A48">
        <w:t xml:space="preserve"> DCA</w:t>
      </w:r>
      <w:r w:rsidR="003E09D4">
        <w:t xml:space="preserve"> 2013]: Failure to request a formal administrative hearing when it became apparent at the informal hearing that the material facts were in dispute does not preserve that issue for appeal notwithstanding that a formal hearing should then be held pursuant to </w:t>
      </w:r>
      <w:r w:rsidR="003E09D4" w:rsidRPr="003E09D4">
        <w:rPr>
          <w:i/>
          <w:u w:val="single"/>
        </w:rPr>
        <w:t>Mixon v. Department of State</w:t>
      </w:r>
      <w:r w:rsidR="003E09D4">
        <w:t>, 686 So. 2d 755 (Fla. 1</w:t>
      </w:r>
      <w:r w:rsidR="003E09D4" w:rsidRPr="003E09D4">
        <w:rPr>
          <w:vertAlign w:val="superscript"/>
        </w:rPr>
        <w:t>st</w:t>
      </w:r>
      <w:r w:rsidR="003E09D4">
        <w:t xml:space="preserve"> DCA 1997), since it is not the responsibility of the administrative board to terminate an informal hearing when disputed material facts become apparent. </w:t>
      </w:r>
      <w:r w:rsidR="003E09D4" w:rsidRPr="003E09D4">
        <w:rPr>
          <w:i/>
          <w:u w:val="single"/>
        </w:rPr>
        <w:t>Goodson v. Florida Department of Business and Professional Regulation, Division of Real Estate</w:t>
      </w:r>
      <w:r w:rsidR="003E09D4">
        <w:t>, 978 So. 2d 195 (Fla. 1</w:t>
      </w:r>
      <w:r w:rsidR="003E09D4" w:rsidRPr="003E09D4">
        <w:rPr>
          <w:vertAlign w:val="superscript"/>
        </w:rPr>
        <w:t>st</w:t>
      </w:r>
      <w:r w:rsidR="003E09D4">
        <w:t xml:space="preserve"> DCA 2008).</w:t>
      </w:r>
    </w:p>
    <w:p w:rsidR="003E09D4" w:rsidRDefault="003E09D4" w:rsidP="00F419B2">
      <w:pPr>
        <w:pStyle w:val="BlockText"/>
      </w:pPr>
      <w:r w:rsidRPr="003E09D4">
        <w:rPr>
          <w:b/>
          <w:u w:val="single"/>
        </w:rPr>
        <w:t>Practice Tip:</w:t>
      </w:r>
      <w:r>
        <w:t xml:space="preserve"> Always request a formal administrative hearing (DOAH) when any disputed facts arise during the course of an informal administrative hearing before a board or agency.</w:t>
      </w:r>
    </w:p>
    <w:p w:rsidR="00F820A6" w:rsidRDefault="00F820A6" w:rsidP="00F419B2">
      <w:pPr>
        <w:pStyle w:val="BlockText"/>
      </w:pPr>
    </w:p>
    <w:p w:rsidR="005D446B" w:rsidRDefault="003E09D4" w:rsidP="00F419B2">
      <w:pPr>
        <w:pStyle w:val="BlockText"/>
      </w:pPr>
      <w:r>
        <w:tab/>
      </w:r>
      <w:r w:rsidR="005D446B" w:rsidRPr="005D446B">
        <w:rPr>
          <w:i/>
          <w:u w:val="single"/>
        </w:rPr>
        <w:t>Nextgen Restoration, Inc., v. Citizens Property Insurance Corporation</w:t>
      </w:r>
      <w:r w:rsidR="005D446B">
        <w:t xml:space="preserve">, Case Noo. 2D12-2990, filed November 15, 2013: </w:t>
      </w:r>
      <w:r w:rsidR="0053686B">
        <w:t>Restoration contactor sued insurance carrier for breach of contract based on owner's assignment of insurance policy of a claim for water remediation. Carrier filed motion to dismiss based on failure to attach policy to complaint, but also answered the compliant by asserting an affirmative defense that assignment was invalid because the policy prohibited assignment; trial court granted carrier's motion to dismiss "based on a standing issue," without leave to amend. The dismissal was REVERSED and REMANDED  because the basis for outside the motion to dismiss, and could not be resolved without a copy of the policy being part of the record.</w:t>
      </w:r>
    </w:p>
    <w:p w:rsidR="00E27BF3" w:rsidRDefault="00E27BF3" w:rsidP="00F419B2">
      <w:pPr>
        <w:pStyle w:val="BlockText"/>
      </w:pPr>
    </w:p>
    <w:p w:rsidR="005D446B" w:rsidRDefault="0053686B" w:rsidP="00F419B2">
      <w:pPr>
        <w:pStyle w:val="BlockText"/>
      </w:pPr>
      <w:r w:rsidRPr="00F10E90">
        <w:rPr>
          <w:u w:val="single"/>
        </w:rPr>
        <w:t>Editor's Note:</w:t>
      </w:r>
      <w:r>
        <w:t xml:space="preserve"> </w:t>
      </w:r>
      <w:r w:rsidR="00E27BF3">
        <w:t xml:space="preserve">While it was not able to resolve the issue of a prohibited assignment, and did not rule on the validity of the assignment, the court observed that "[T]hat provision of the insurance contract does not appear to prevent an assignment of benefits or proceeds owing by </w:t>
      </w:r>
      <w:r w:rsidR="00795F45">
        <w:t>virtue</w:t>
      </w:r>
      <w:r w:rsidR="00E27BF3">
        <w:t xml:space="preserve"> of a claim arising under the policy," and "…we note that other cases seem to permit assignees to bring similar actions," citing </w:t>
      </w:r>
      <w:r w:rsidR="00E27BF3" w:rsidRPr="00E27BF3">
        <w:rPr>
          <w:i/>
          <w:u w:val="single"/>
        </w:rPr>
        <w:t>Miami-Dade County v. Associated Aviation Underwriters</w:t>
      </w:r>
      <w:r w:rsidR="00E27BF3">
        <w:t xml:space="preserve">, 983 So. 2d 618 (Fla. 2008) and </w:t>
      </w:r>
      <w:r w:rsidR="00E27BF3" w:rsidRPr="00E27BF3">
        <w:rPr>
          <w:i/>
          <w:u w:val="single"/>
        </w:rPr>
        <w:t>State Farm Fla. Ins. Co. v. Unlimited Restoration Specialists, Inc.,</w:t>
      </w:r>
      <w:r w:rsidR="00E27BF3">
        <w:t xml:space="preserve"> 84 So. 3d 390 (Fla. 5</w:t>
      </w:r>
      <w:r w:rsidR="00E27BF3" w:rsidRPr="00E27BF3">
        <w:rPr>
          <w:vertAlign w:val="superscript"/>
        </w:rPr>
        <w:t>th</w:t>
      </w:r>
      <w:r w:rsidR="00E27BF3">
        <w:t xml:space="preserve"> DCA 2012).</w:t>
      </w:r>
    </w:p>
    <w:p w:rsidR="005D446B" w:rsidRDefault="005D446B" w:rsidP="00F419B2">
      <w:pPr>
        <w:pStyle w:val="BlockText"/>
      </w:pPr>
      <w:r>
        <w:lastRenderedPageBreak/>
        <w:tab/>
      </w:r>
      <w:r w:rsidRPr="005D446B">
        <w:rPr>
          <w:i/>
          <w:u w:val="single"/>
        </w:rPr>
        <w:t>Premier Finishes, Inc. and Peter Torres v. Chris Maggirias, Trustee</w:t>
      </w:r>
      <w:r>
        <w:t xml:space="preserve">, 38 Fla. L. Weekly D2388a. Case No. 2D13-1340, filed November 15, 2013: </w:t>
      </w:r>
      <w:r w:rsidR="00E27BF3">
        <w:t xml:space="preserve">Writ of Certiorari was granted quashing order discharging claim of lien and notice of lis pendens based on trial court's finding that contractor's use of its fictitious name invalidated the underlying contract. </w:t>
      </w:r>
      <w:r w:rsidR="00F10E90">
        <w:t>Since t</w:t>
      </w:r>
      <w:r w:rsidR="00E27BF3">
        <w:t>he trial court</w:t>
      </w:r>
      <w:r w:rsidR="00F10E90">
        <w:t>'s failure</w:t>
      </w:r>
      <w:r w:rsidR="00E27BF3">
        <w:t xml:space="preserve"> to make a specific finding </w:t>
      </w:r>
      <w:r w:rsidR="00F10E90">
        <w:t>t</w:t>
      </w:r>
      <w:r w:rsidR="00E27BF3">
        <w:t>hat the "faulty" claim of lien adversely affected the owner</w:t>
      </w:r>
      <w:r w:rsidR="00F10E90">
        <w:t xml:space="preserve"> could not be remedied on appear, certiorari relief was appropriate.</w:t>
      </w:r>
    </w:p>
    <w:p w:rsidR="005D446B" w:rsidRDefault="005D446B" w:rsidP="00F419B2">
      <w:pPr>
        <w:pStyle w:val="BlockText"/>
      </w:pPr>
    </w:p>
    <w:p w:rsidR="00F10E90" w:rsidRDefault="005D446B" w:rsidP="00F10E90">
      <w:pPr>
        <w:pStyle w:val="BlockText"/>
        <w:ind w:firstLine="720"/>
      </w:pPr>
      <w:r w:rsidRPr="005D446B">
        <w:rPr>
          <w:i/>
          <w:u w:val="single"/>
        </w:rPr>
        <w:t>Preusler &amp; Associates, Inc. v. Stephen A. Scott</w:t>
      </w:r>
      <w:r>
        <w:t xml:space="preserve">, 38 Fla. L. Weekly D2436a, Case No. 1D12-5409, filed November 20, 2013: </w:t>
      </w:r>
      <w:r w:rsidR="00F10E90">
        <w:t>Owner sued restoration contractor under FDUTPA, and contractor counterclaimed for breach of contract, but did not plead entitlement to fees. After summary judgment was granted on both claims in favor of contractor, it filed a motion for attorney fees pursuant to s. 501.2105, which was granted without a specify finding of the number of hour reasonably expended to defend the FDUTA claim. While finding that the contractor had waived its claim for fees, the case was REVERSED and REMANDED for a determination by the trial court of the reasonable number of hours, hourly rate, and any modification factors.</w:t>
      </w:r>
    </w:p>
    <w:p w:rsidR="00F10E90" w:rsidRDefault="00F10E90" w:rsidP="00F10E90">
      <w:pPr>
        <w:pStyle w:val="BlockText"/>
      </w:pPr>
      <w:r w:rsidRPr="00F10E90">
        <w:rPr>
          <w:u w:val="single"/>
        </w:rPr>
        <w:t>Query:</w:t>
      </w:r>
      <w:r>
        <w:t xml:space="preserve"> What's the point of a remand if the fees were found to have been waived?</w:t>
      </w:r>
    </w:p>
    <w:p w:rsidR="005D446B" w:rsidRDefault="005D446B" w:rsidP="005D446B">
      <w:pPr>
        <w:pStyle w:val="BlockText"/>
        <w:ind w:firstLine="720"/>
      </w:pPr>
    </w:p>
    <w:p w:rsidR="005D446B" w:rsidRDefault="005D446B" w:rsidP="005D446B">
      <w:pPr>
        <w:pStyle w:val="BlockText"/>
        <w:ind w:firstLine="720"/>
      </w:pPr>
      <w:r w:rsidRPr="005D446B">
        <w:rPr>
          <w:i/>
          <w:u w:val="single"/>
        </w:rPr>
        <w:t>Regions Bank v. Paul Rhodes and Sunset Lakes of St. Lucie</w:t>
      </w:r>
      <w:r>
        <w:t xml:space="preserve">, LLC, 38 Fla. L. Weekly D2400a, </w:t>
      </w:r>
      <w:r w:rsidR="00CF2A48">
        <w:t xml:space="preserve">Case No. 4D13-72, </w:t>
      </w:r>
      <w:r>
        <w:t>filed November 20, 2013:</w:t>
      </w:r>
      <w:r w:rsidR="00F10E90">
        <w:t xml:space="preserve"> </w:t>
      </w:r>
      <w:r w:rsidR="00E901CE">
        <w:t xml:space="preserve">Offer of judgment pursuant to s. 768.79(1) and FRCP 1.441 ("settlement proposals") was found to be invalid because it was served by the defendant (Regions Bank) less than 90 days after it had been made a party by filing of an amended complaint (although it was served more than 90 days after filing of original complaint). The court found rejected the "mere technical violation" rationale adopted in </w:t>
      </w:r>
      <w:r w:rsidR="00E901CE" w:rsidRPr="00E901CE">
        <w:rPr>
          <w:i/>
          <w:u w:val="single"/>
        </w:rPr>
        <w:t>Kuvin v. Keller Ladders, Inc</w:t>
      </w:r>
      <w:r w:rsidR="00E901CE">
        <w:t xml:space="preserve">., 797 So. 2d 611 (Fla. 3d DCA 2001) and </w:t>
      </w:r>
      <w:r w:rsidR="00E901CE" w:rsidRPr="00795F45">
        <w:rPr>
          <w:i/>
          <w:u w:val="single"/>
        </w:rPr>
        <w:t>Shoppes of Liberty City, LLC v. Sotolongo</w:t>
      </w:r>
      <w:r w:rsidR="00E901CE">
        <w:t xml:space="preserve">, 932 So. 2d 468 (Fla. 3d DCA 2006), but certified the conflict in light of </w:t>
      </w:r>
      <w:r w:rsidR="00E901CE" w:rsidRPr="00E901CE">
        <w:rPr>
          <w:i/>
          <w:u w:val="single"/>
        </w:rPr>
        <w:t>Campbell v. Goldman,</w:t>
      </w:r>
      <w:r w:rsidR="00E901CE">
        <w:t xml:space="preserve"> 959 So. 2d 223 (Fla. 2007), which found an offer of judgment invalid because it failed to cite the statutory provisions in addition to the rule citation.</w:t>
      </w:r>
    </w:p>
    <w:p w:rsidR="00F820A6" w:rsidRDefault="005D446B" w:rsidP="00F419B2">
      <w:pPr>
        <w:pStyle w:val="BlockText"/>
      </w:pPr>
      <w:r>
        <w:tab/>
      </w:r>
    </w:p>
    <w:p w:rsidR="00D9771C" w:rsidRDefault="00EB61E2" w:rsidP="00D9771C">
      <w:pPr>
        <w:pStyle w:val="BlockText"/>
      </w:pPr>
      <w:r w:rsidRPr="00797252">
        <w:rPr>
          <w:b/>
          <w:u w:val="single"/>
        </w:rPr>
        <w:t>DOAH</w:t>
      </w:r>
      <w:r w:rsidR="002B09F1">
        <w:rPr>
          <w:b/>
          <w:u w:val="single"/>
        </w:rPr>
        <w:t xml:space="preserve"> Orders</w:t>
      </w:r>
      <w:r w:rsidR="00D9771C" w:rsidRPr="00797252">
        <w:rPr>
          <w:b/>
          <w:u w:val="single"/>
        </w:rPr>
        <w:t>:</w:t>
      </w:r>
      <w:r w:rsidR="0083319A" w:rsidRPr="00797252">
        <w:t xml:space="preserve"> </w:t>
      </w:r>
    </w:p>
    <w:p w:rsidR="00401A5C" w:rsidRDefault="00401A5C" w:rsidP="00D9771C">
      <w:pPr>
        <w:pStyle w:val="BlockText"/>
      </w:pPr>
    </w:p>
    <w:p w:rsidR="00401A5C" w:rsidRDefault="00401A5C" w:rsidP="00D9771C">
      <w:pPr>
        <w:pStyle w:val="BlockText"/>
      </w:pPr>
      <w:r>
        <w:tab/>
      </w:r>
      <w:r w:rsidRPr="00401A5C">
        <w:rPr>
          <w:i/>
          <w:u w:val="single"/>
        </w:rPr>
        <w:t>Gulf Coast Development Services v. Department of Financial Services, Division of Workers' Compensation</w:t>
      </w:r>
      <w:r>
        <w:t xml:space="preserve">, DOAH Case No. 13-1977F, Final Order issued December 6, 2013: </w:t>
      </w:r>
      <w:r w:rsidR="002A7577">
        <w:t>Petition for award of attorney fees pursuant to s. 57.111, F. S., after DFS rescinded Stop-Work Order and Penalty Assessment that had been issued in error, was DENIED. Based on the Petitioner's statements to the department's investigator, the issuance of the order and assessment were "substantially justified" pursuant to statutory defense, notwithstanding that contractor-developer was the "prevailing party" in the underlying administrative hearing.</w:t>
      </w:r>
    </w:p>
    <w:p w:rsidR="002B09F1" w:rsidRDefault="002B09F1" w:rsidP="00D9771C">
      <w:pPr>
        <w:pStyle w:val="BlockText"/>
      </w:pPr>
    </w:p>
    <w:p w:rsidR="00D255AC" w:rsidRPr="00D255AC" w:rsidRDefault="002B09F1" w:rsidP="00D9771C">
      <w:pPr>
        <w:pStyle w:val="BlockText"/>
      </w:pPr>
      <w:r w:rsidRPr="002B09F1">
        <w:rPr>
          <w:b/>
          <w:u w:val="single"/>
        </w:rPr>
        <w:t>State Agency Actions</w:t>
      </w:r>
      <w:r w:rsidRPr="00D255AC">
        <w:t>:</w:t>
      </w:r>
      <w:r w:rsidR="00D255AC" w:rsidRPr="00D255AC">
        <w:t xml:space="preserve"> Based on the requirements of Senate Bill 50, passed earlier this year, the Attorney General's office has proposed that all boards adopt a rule providi</w:t>
      </w:r>
      <w:r w:rsidR="00D255AC">
        <w:t>ng for "public inp</w:t>
      </w:r>
      <w:r w:rsidR="00D255AC" w:rsidRPr="00D255AC">
        <w:t>ut."</w:t>
      </w:r>
    </w:p>
    <w:p w:rsidR="006A50BC" w:rsidRPr="00D255AC" w:rsidRDefault="006A50BC" w:rsidP="00D9771C">
      <w:pPr>
        <w:pStyle w:val="BlockText"/>
      </w:pPr>
    </w:p>
    <w:p w:rsidR="004E142A" w:rsidRDefault="00DE52F2" w:rsidP="00DE52F2">
      <w:pPr>
        <w:pStyle w:val="BlockText"/>
      </w:pPr>
      <w:r>
        <w:t xml:space="preserve">A. </w:t>
      </w:r>
      <w:r w:rsidR="004E142A">
        <w:rPr>
          <w:b/>
        </w:rPr>
        <w:t xml:space="preserve">Department of </w:t>
      </w:r>
      <w:r w:rsidR="004E142A" w:rsidRPr="0098369B">
        <w:rPr>
          <w:b/>
        </w:rPr>
        <w:t>Business and Professional Regulation</w:t>
      </w:r>
      <w:r w:rsidR="004E142A">
        <w:rPr>
          <w:b/>
        </w:rPr>
        <w:t>.</w:t>
      </w:r>
    </w:p>
    <w:p w:rsidR="004E142A" w:rsidRDefault="004E142A" w:rsidP="004E142A">
      <w:pPr>
        <w:pStyle w:val="BlockText"/>
        <w:ind w:left="720"/>
      </w:pPr>
    </w:p>
    <w:p w:rsidR="002A7577" w:rsidRPr="002A7577" w:rsidRDefault="004E142A" w:rsidP="002A7577">
      <w:pPr>
        <w:pStyle w:val="BlockText"/>
        <w:numPr>
          <w:ilvl w:val="0"/>
          <w:numId w:val="32"/>
        </w:numPr>
        <w:rPr>
          <w:b/>
        </w:rPr>
      </w:pPr>
      <w:r w:rsidRPr="00936542">
        <w:rPr>
          <w:u w:val="single"/>
        </w:rPr>
        <w:t>Construction Industry Licensing Board</w:t>
      </w:r>
      <w:r>
        <w:t xml:space="preserve"> – Chapter 489, Part I, FS and Chapter 61G4 FAC: </w:t>
      </w:r>
    </w:p>
    <w:p w:rsidR="002A7577" w:rsidRPr="002A7577" w:rsidRDefault="00E1125C" w:rsidP="002A7577">
      <w:pPr>
        <w:pStyle w:val="BlockText"/>
        <w:numPr>
          <w:ilvl w:val="1"/>
          <w:numId w:val="32"/>
        </w:numPr>
        <w:rPr>
          <w:b/>
        </w:rPr>
      </w:pPr>
      <w:r>
        <w:t xml:space="preserve">This board has </w:t>
      </w:r>
      <w:r w:rsidR="00052694">
        <w:t>proposed</w:t>
      </w:r>
      <w:r>
        <w:t xml:space="preserve"> </w:t>
      </w:r>
      <w:r w:rsidR="004E142A">
        <w:t>adopt</w:t>
      </w:r>
      <w:r>
        <w:t>ed, repealed</w:t>
      </w:r>
      <w:r w:rsidR="004E142A">
        <w:t xml:space="preserve"> or amend</w:t>
      </w:r>
      <w:r>
        <w:t>ed</w:t>
      </w:r>
      <w:r w:rsidR="004E142A">
        <w:t xml:space="preserve"> the following rules (if any)</w:t>
      </w:r>
      <w:r w:rsidR="00B754FE">
        <w:t>:</w:t>
      </w:r>
      <w:r w:rsidR="006A3B11" w:rsidRPr="002A7577">
        <w:rPr>
          <w:b/>
        </w:rPr>
        <w:t xml:space="preserve"> </w:t>
      </w:r>
    </w:p>
    <w:p w:rsidR="002A7577" w:rsidRPr="002A7577" w:rsidRDefault="002A7577" w:rsidP="002A7577">
      <w:pPr>
        <w:pStyle w:val="BlockText"/>
        <w:ind w:left="1800"/>
        <w:rPr>
          <w:b/>
        </w:rPr>
      </w:pPr>
    </w:p>
    <w:p w:rsidR="002A7577" w:rsidRPr="002A7577" w:rsidRDefault="002A7577" w:rsidP="002A7577">
      <w:pPr>
        <w:pStyle w:val="BlockText"/>
        <w:numPr>
          <w:ilvl w:val="2"/>
          <w:numId w:val="32"/>
        </w:numPr>
        <w:rPr>
          <w:b/>
        </w:rPr>
      </w:pPr>
      <w:r w:rsidRPr="002A7577">
        <w:lastRenderedPageBreak/>
        <w:t xml:space="preserve">Proposed amendment to </w:t>
      </w:r>
      <w:r>
        <w:t>Rule 61G4-12.011 to add a new definition of "structure."</w:t>
      </w:r>
    </w:p>
    <w:p w:rsidR="002A7577" w:rsidRPr="002A7577" w:rsidRDefault="002A7577" w:rsidP="002A7577">
      <w:pPr>
        <w:pStyle w:val="BlockText"/>
        <w:ind w:left="2520"/>
        <w:rPr>
          <w:b/>
        </w:rPr>
      </w:pPr>
    </w:p>
    <w:p w:rsidR="00DB01F6" w:rsidRPr="002A7577" w:rsidRDefault="002A7577" w:rsidP="006A3B11">
      <w:pPr>
        <w:pStyle w:val="BlockText"/>
        <w:numPr>
          <w:ilvl w:val="2"/>
          <w:numId w:val="32"/>
        </w:numPr>
        <w:rPr>
          <w:b/>
        </w:rPr>
      </w:pPr>
      <w:r>
        <w:t xml:space="preserve">Proposed new Rule 61G4-15.039 to create a new </w:t>
      </w:r>
      <w:r w:rsidR="00CF2A48">
        <w:t>specialty</w:t>
      </w:r>
      <w:r>
        <w:t xml:space="preserve"> contractor category for "Industrial Facilities."</w:t>
      </w:r>
    </w:p>
    <w:p w:rsidR="002A7577" w:rsidRPr="002A7577" w:rsidRDefault="002A7577" w:rsidP="002A7577">
      <w:pPr>
        <w:pStyle w:val="BlockText"/>
        <w:ind w:left="2520"/>
        <w:rPr>
          <w:b/>
        </w:rPr>
      </w:pPr>
    </w:p>
    <w:p w:rsidR="00D255AC" w:rsidRDefault="004E142A" w:rsidP="00BC59CC">
      <w:pPr>
        <w:pStyle w:val="BlockText"/>
        <w:numPr>
          <w:ilvl w:val="1"/>
          <w:numId w:val="32"/>
        </w:numPr>
      </w:pPr>
      <w:r>
        <w:t>This board has received or disposed of the following Petitions for</w:t>
      </w:r>
      <w:r w:rsidR="00DB01F6">
        <w:t xml:space="preserve"> Declaratory Statement (if any):</w:t>
      </w:r>
      <w:r w:rsidR="002A7577">
        <w:tab/>
        <w:t xml:space="preserve"> </w:t>
      </w:r>
    </w:p>
    <w:p w:rsidR="00D255AC" w:rsidRDefault="00D255AC" w:rsidP="00D255AC">
      <w:pPr>
        <w:pStyle w:val="BlockText"/>
        <w:ind w:left="1800"/>
      </w:pPr>
    </w:p>
    <w:p w:rsidR="00722DD1" w:rsidRDefault="002A7577" w:rsidP="00D255AC">
      <w:pPr>
        <w:pStyle w:val="BlockText"/>
        <w:numPr>
          <w:ilvl w:val="2"/>
          <w:numId w:val="32"/>
        </w:numPr>
      </w:pPr>
      <w:r>
        <w:t>Received on October 31</w:t>
      </w:r>
      <w:r w:rsidR="00EF1906">
        <w:t xml:space="preserve">, 2013 </w:t>
      </w:r>
      <w:r>
        <w:t>from TransCan Mechanical</w:t>
      </w:r>
      <w:r w:rsidR="00EF1906">
        <w:t xml:space="preserve">, LLC, seeking a determination </w:t>
      </w:r>
      <w:r>
        <w:t>of whether a plumbing contractor license s required in order to subcontract with a Div</w:t>
      </w:r>
      <w:r w:rsidR="00BC59CC">
        <w:t>ision I contractor for the inst</w:t>
      </w:r>
      <w:r>
        <w:t>allation of pneumatic tube systems.</w:t>
      </w:r>
    </w:p>
    <w:p w:rsidR="00D255AC" w:rsidRDefault="00D255AC" w:rsidP="00D255AC">
      <w:pPr>
        <w:pStyle w:val="BlockText"/>
        <w:ind w:left="2520"/>
      </w:pPr>
    </w:p>
    <w:p w:rsidR="00D255AC" w:rsidRDefault="00D255AC" w:rsidP="00D255AC">
      <w:pPr>
        <w:pStyle w:val="BlockText"/>
        <w:numPr>
          <w:ilvl w:val="2"/>
          <w:numId w:val="32"/>
        </w:numPr>
      </w:pPr>
      <w:r>
        <w:t>Granted on November 27, 2013 a petition from Utility Service Company, Inc., by finding that its Tower Specialty license included a spray system located inside a water tank.</w:t>
      </w:r>
    </w:p>
    <w:p w:rsidR="00BC59CC" w:rsidRDefault="00BC59CC" w:rsidP="00BC59CC">
      <w:pPr>
        <w:pStyle w:val="BlockText"/>
        <w:ind w:left="1800"/>
      </w:pPr>
    </w:p>
    <w:p w:rsidR="00BC59CC" w:rsidRDefault="004E142A" w:rsidP="00BD45AE">
      <w:pPr>
        <w:pStyle w:val="BlockText"/>
        <w:numPr>
          <w:ilvl w:val="1"/>
          <w:numId w:val="32"/>
        </w:numPr>
      </w:pPr>
      <w:r>
        <w:t>This board has received or dis</w:t>
      </w:r>
      <w:r w:rsidR="002558FB">
        <w:t>posed of the following Petition</w:t>
      </w:r>
      <w:r>
        <w:t xml:space="preserve"> for Va</w:t>
      </w:r>
      <w:r w:rsidR="008C23E6">
        <w:t>riance or Waiver (if any):</w:t>
      </w:r>
      <w:r w:rsidR="000340FB">
        <w:t xml:space="preserve"> </w:t>
      </w:r>
    </w:p>
    <w:p w:rsidR="00BC59CC" w:rsidRDefault="00BC59CC" w:rsidP="00BC59CC">
      <w:pPr>
        <w:pStyle w:val="BlockText"/>
        <w:ind w:left="1800"/>
      </w:pPr>
    </w:p>
    <w:p w:rsidR="00BC59CC" w:rsidRDefault="00BC59CC" w:rsidP="00BC59CC">
      <w:pPr>
        <w:pStyle w:val="BlockText"/>
        <w:numPr>
          <w:ilvl w:val="2"/>
          <w:numId w:val="32"/>
        </w:numPr>
      </w:pPr>
      <w:r>
        <w:t>Denied a petition r</w:t>
      </w:r>
      <w:r w:rsidR="004E1249">
        <w:t xml:space="preserve">eceived </w:t>
      </w:r>
      <w:r>
        <w:t xml:space="preserve">on August 16, 2013, from Nilo A. Hernandez, </w:t>
      </w:r>
      <w:r w:rsidR="004E1249">
        <w:t xml:space="preserve">seeking a </w:t>
      </w:r>
      <w:r>
        <w:t>waiver of Rule 61G4-15.030, as it applies to a grandfathered county roofing certificate, for failure to accomplish the underlying purpose of s. 489.118, F. S., by Final Order entered on November 5, 2013.</w:t>
      </w:r>
    </w:p>
    <w:p w:rsidR="00BC59CC" w:rsidRDefault="00BC59CC" w:rsidP="00BC59CC">
      <w:pPr>
        <w:pStyle w:val="BlockText"/>
        <w:ind w:left="2520"/>
      </w:pPr>
    </w:p>
    <w:p w:rsidR="000C4772" w:rsidRDefault="00BC59CC" w:rsidP="00BC59CC">
      <w:pPr>
        <w:pStyle w:val="BlockText"/>
        <w:numPr>
          <w:ilvl w:val="2"/>
          <w:numId w:val="32"/>
        </w:numPr>
      </w:pPr>
      <w:r>
        <w:t>Received a petition on July 18, 2013 by Robert Williams seeking a waiver of Rule 61G4-16.005, allowing a passing grade to be valid only for a period of four (4) years, based on major health issues and inability to work in the plumbing profession for an extended period of time</w:t>
      </w:r>
      <w:r w:rsidR="004E1249">
        <w:t xml:space="preserve"> </w:t>
      </w:r>
    </w:p>
    <w:p w:rsidR="004E1249" w:rsidRDefault="004E1249" w:rsidP="001150F0">
      <w:pPr>
        <w:pStyle w:val="BlockText"/>
      </w:pPr>
    </w:p>
    <w:p w:rsidR="009E2A70" w:rsidRDefault="004E142A" w:rsidP="009E2A70">
      <w:pPr>
        <w:pStyle w:val="BlockText"/>
        <w:numPr>
          <w:ilvl w:val="0"/>
          <w:numId w:val="32"/>
        </w:numPr>
      </w:pPr>
      <w:r w:rsidRPr="00BD45AE">
        <w:rPr>
          <w:u w:val="single"/>
        </w:rPr>
        <w:t>Electrical Contracting Licensing Board</w:t>
      </w:r>
      <w:r>
        <w:t xml:space="preserve"> (includes both electricians and alarm contractors) – Chapter </w:t>
      </w:r>
      <w:r w:rsidR="00EF30B1">
        <w:t>489, Part II, FS and 61G6, FAC</w:t>
      </w:r>
      <w:r w:rsidR="00BD45AE">
        <w:t xml:space="preserve">: </w:t>
      </w:r>
    </w:p>
    <w:p w:rsidR="00BD45AE" w:rsidRDefault="00BD45AE" w:rsidP="00BE7523">
      <w:pPr>
        <w:pStyle w:val="BlockText"/>
      </w:pPr>
    </w:p>
    <w:p w:rsidR="00480712" w:rsidRDefault="00BD45AE" w:rsidP="00BD45AE">
      <w:pPr>
        <w:pStyle w:val="BlockText"/>
        <w:numPr>
          <w:ilvl w:val="1"/>
          <w:numId w:val="32"/>
        </w:numPr>
      </w:pPr>
      <w:r>
        <w:t xml:space="preserve">This board has </w:t>
      </w:r>
      <w:r w:rsidR="00BE7523">
        <w:t>proposed</w:t>
      </w:r>
      <w:r>
        <w:t xml:space="preserve"> adopted, repealed or amended the following rules (if any): </w:t>
      </w:r>
      <w:r w:rsidR="001150F0">
        <w:t>None noticed.</w:t>
      </w:r>
    </w:p>
    <w:p w:rsidR="00480712" w:rsidRDefault="00480712" w:rsidP="00480712">
      <w:pPr>
        <w:pStyle w:val="BlockText"/>
        <w:ind w:left="1800"/>
      </w:pPr>
    </w:p>
    <w:p w:rsidR="004E142A" w:rsidRDefault="004E142A" w:rsidP="00BD45AE">
      <w:pPr>
        <w:pStyle w:val="BlockText"/>
        <w:numPr>
          <w:ilvl w:val="1"/>
          <w:numId w:val="32"/>
        </w:numPr>
      </w:pPr>
      <w:r>
        <w:t xml:space="preserve">This board has received or disposed of the following Petitions for </w:t>
      </w:r>
      <w:r w:rsidR="00480712">
        <w:t>Declaratory Statement (if any):</w:t>
      </w:r>
      <w:r w:rsidR="00BC59CC">
        <w:t xml:space="preserve"> None noticed.</w:t>
      </w:r>
    </w:p>
    <w:p w:rsidR="00480712" w:rsidRDefault="00480712" w:rsidP="00480712">
      <w:pPr>
        <w:pStyle w:val="BlockText"/>
        <w:ind w:left="1800"/>
      </w:pPr>
    </w:p>
    <w:p w:rsidR="004E142A" w:rsidRDefault="004E142A" w:rsidP="004E142A">
      <w:pPr>
        <w:pStyle w:val="BlockText"/>
        <w:numPr>
          <w:ilvl w:val="1"/>
          <w:numId w:val="32"/>
        </w:numPr>
      </w:pPr>
      <w:r>
        <w:t xml:space="preserve">This board has received or disposed of the following Petitions for </w:t>
      </w:r>
      <w:r w:rsidR="009E2A70">
        <w:t>Va</w:t>
      </w:r>
      <w:r w:rsidR="00BD45AE">
        <w:t>riance or Waiver (if any):</w:t>
      </w:r>
      <w:r w:rsidR="00AC4FD0">
        <w:t xml:space="preserve"> </w:t>
      </w:r>
      <w:r w:rsidR="00BC59CC">
        <w:t>None noticed</w:t>
      </w:r>
      <w:r w:rsidR="00AC4FD0">
        <w:t>.</w:t>
      </w:r>
    </w:p>
    <w:p w:rsidR="004E142A" w:rsidRDefault="004E142A" w:rsidP="001E3281">
      <w:pPr>
        <w:pStyle w:val="BlockText"/>
      </w:pPr>
    </w:p>
    <w:p w:rsidR="004E142A" w:rsidRDefault="004E142A" w:rsidP="004E142A">
      <w:pPr>
        <w:pStyle w:val="BlockText"/>
        <w:numPr>
          <w:ilvl w:val="0"/>
          <w:numId w:val="32"/>
        </w:numPr>
      </w:pPr>
      <w:r w:rsidRPr="00CF2384">
        <w:rPr>
          <w:u w:val="single"/>
        </w:rPr>
        <w:t>Board of Architecture and Interior Design</w:t>
      </w:r>
      <w:r>
        <w:t xml:space="preserve"> – Chapter 481, Part I, FS and 61G1 FAC: </w:t>
      </w:r>
    </w:p>
    <w:p w:rsidR="004E142A" w:rsidRDefault="004E142A" w:rsidP="004E142A">
      <w:pPr>
        <w:pStyle w:val="BlockText"/>
        <w:ind w:left="1080"/>
      </w:pPr>
    </w:p>
    <w:p w:rsidR="003C40E8" w:rsidRDefault="00E1125C" w:rsidP="00571120">
      <w:pPr>
        <w:pStyle w:val="BlockText"/>
        <w:numPr>
          <w:ilvl w:val="1"/>
          <w:numId w:val="32"/>
        </w:numPr>
      </w:pPr>
      <w:r>
        <w:t>This board has proposed, adopted, repealed or amended the following rules (if any</w:t>
      </w:r>
      <w:r w:rsidR="00920535">
        <w:t xml:space="preserve">): </w:t>
      </w:r>
      <w:r w:rsidR="00BC59CC">
        <w:t>None noticed.</w:t>
      </w:r>
    </w:p>
    <w:p w:rsidR="00AC4FD0" w:rsidRDefault="00AC4FD0" w:rsidP="00AC4FD0">
      <w:pPr>
        <w:pStyle w:val="BlockText"/>
        <w:ind w:left="1800"/>
      </w:pPr>
    </w:p>
    <w:p w:rsidR="004E142A" w:rsidRDefault="004E142A" w:rsidP="004E142A">
      <w:pPr>
        <w:pStyle w:val="BlockText"/>
        <w:numPr>
          <w:ilvl w:val="1"/>
          <w:numId w:val="32"/>
        </w:numPr>
      </w:pPr>
      <w:r>
        <w:t xml:space="preserve">This board has received or disposed of the following Petitions for Declaratory Statement (if any): </w:t>
      </w:r>
      <w:r w:rsidR="009E2A70">
        <w:t>None</w:t>
      </w:r>
      <w:r w:rsidR="002558FB">
        <w:t xml:space="preserve"> noticed</w:t>
      </w:r>
      <w:r w:rsidR="009E2A70">
        <w:t>.</w:t>
      </w:r>
    </w:p>
    <w:p w:rsidR="004E142A" w:rsidRDefault="004E142A" w:rsidP="004E142A">
      <w:pPr>
        <w:pStyle w:val="ListParagraph"/>
      </w:pPr>
    </w:p>
    <w:p w:rsidR="004E142A" w:rsidRDefault="004E142A" w:rsidP="004E142A">
      <w:pPr>
        <w:pStyle w:val="BlockText"/>
        <w:numPr>
          <w:ilvl w:val="1"/>
          <w:numId w:val="32"/>
        </w:numPr>
      </w:pPr>
      <w:r>
        <w:t>This board has received or disposed of the following Petitions f</w:t>
      </w:r>
      <w:r w:rsidR="00273404">
        <w:t>or Variance or Waiver (if any):</w:t>
      </w:r>
      <w:r w:rsidR="00AC4FD0">
        <w:t xml:space="preserve"> None noticed.</w:t>
      </w:r>
    </w:p>
    <w:p w:rsidR="004E2A5D" w:rsidRDefault="004E2A5D" w:rsidP="00AC4FD0">
      <w:pPr>
        <w:pStyle w:val="BlockText"/>
      </w:pPr>
    </w:p>
    <w:p w:rsidR="004E142A" w:rsidRDefault="004E142A" w:rsidP="004E142A">
      <w:pPr>
        <w:pStyle w:val="BlockText"/>
        <w:numPr>
          <w:ilvl w:val="0"/>
          <w:numId w:val="32"/>
        </w:numPr>
      </w:pPr>
      <w:r w:rsidRPr="00EF1953">
        <w:rPr>
          <w:u w:val="single"/>
        </w:rPr>
        <w:t>Board of Landscape Architecture</w:t>
      </w:r>
      <w:r>
        <w:t xml:space="preserve"> – Chapter 481, Part II, FS and 61G10 FAC: </w:t>
      </w:r>
    </w:p>
    <w:p w:rsidR="004E142A" w:rsidRDefault="004E142A" w:rsidP="004E142A"/>
    <w:p w:rsidR="004E142A" w:rsidRDefault="004E142A" w:rsidP="00D255AC">
      <w:pPr>
        <w:ind w:left="720" w:firstLine="720"/>
      </w:pPr>
      <w:r>
        <w:t>(Nothing to report)</w:t>
      </w:r>
    </w:p>
    <w:p w:rsidR="004E142A" w:rsidRDefault="004E142A" w:rsidP="004E142A"/>
    <w:p w:rsidR="004E142A" w:rsidRDefault="004E142A" w:rsidP="004E142A">
      <w:pPr>
        <w:pStyle w:val="BlockText"/>
        <w:numPr>
          <w:ilvl w:val="0"/>
          <w:numId w:val="32"/>
        </w:numPr>
      </w:pPr>
      <w:r w:rsidRPr="00D42313">
        <w:rPr>
          <w:u w:val="single"/>
        </w:rPr>
        <w:t>Board of Professional Engineers</w:t>
      </w:r>
      <w:r>
        <w:t xml:space="preserve"> – Chapter 471, FS and 61G15 FAC: </w:t>
      </w:r>
    </w:p>
    <w:p w:rsidR="004E142A" w:rsidRDefault="004E142A" w:rsidP="004E142A">
      <w:pPr>
        <w:pStyle w:val="BlockText"/>
      </w:pPr>
    </w:p>
    <w:p w:rsidR="002438D2" w:rsidRDefault="00E1125C" w:rsidP="00571120">
      <w:pPr>
        <w:pStyle w:val="BlockText"/>
        <w:numPr>
          <w:ilvl w:val="1"/>
          <w:numId w:val="32"/>
        </w:numPr>
      </w:pPr>
      <w:r>
        <w:t xml:space="preserve">This board has </w:t>
      </w:r>
      <w:r w:rsidR="004204AE">
        <w:t>proposed</w:t>
      </w:r>
      <w:r>
        <w:t xml:space="preserve"> adopted, repealed or amended</w:t>
      </w:r>
      <w:r w:rsidR="004204AE">
        <w:t xml:space="preserve"> the following rules (if </w:t>
      </w:r>
      <w:r>
        <w:t>any)</w:t>
      </w:r>
      <w:r w:rsidR="004E2A5D">
        <w:t>:</w:t>
      </w:r>
      <w:r w:rsidR="00AC4FD0">
        <w:t xml:space="preserve"> </w:t>
      </w:r>
      <w:r w:rsidR="002438D2">
        <w:t>Rule 61G15-23.003 regarding procedures for signing and sealing electronically transmitted plans, specifications, reports or other documents.</w:t>
      </w:r>
    </w:p>
    <w:p w:rsidR="003C4C6F" w:rsidRDefault="003C4C6F" w:rsidP="002438D2">
      <w:pPr>
        <w:pStyle w:val="BlockText"/>
      </w:pPr>
    </w:p>
    <w:p w:rsidR="002438D2" w:rsidRDefault="009E2A70" w:rsidP="002438D2">
      <w:pPr>
        <w:pStyle w:val="BlockText"/>
        <w:numPr>
          <w:ilvl w:val="1"/>
          <w:numId w:val="32"/>
        </w:numPr>
      </w:pPr>
      <w:r>
        <w:t xml:space="preserve">This board has received or disposed of the following Petitions for </w:t>
      </w:r>
      <w:r w:rsidR="00052694">
        <w:t>Declaratory Statement</w:t>
      </w:r>
      <w:r>
        <w:t xml:space="preserve"> (if any): None</w:t>
      </w:r>
      <w:r w:rsidR="00920535">
        <w:t xml:space="preserve"> noticed</w:t>
      </w:r>
      <w:r>
        <w:t>.</w:t>
      </w:r>
    </w:p>
    <w:p w:rsidR="002438D2" w:rsidRDefault="002438D2" w:rsidP="002438D2">
      <w:pPr>
        <w:pStyle w:val="BlockText"/>
        <w:ind w:left="1800"/>
      </w:pPr>
    </w:p>
    <w:p w:rsidR="004E2A5D" w:rsidRDefault="009E2A70" w:rsidP="002438D2">
      <w:pPr>
        <w:pStyle w:val="BlockText"/>
        <w:numPr>
          <w:ilvl w:val="1"/>
          <w:numId w:val="32"/>
        </w:numPr>
      </w:pPr>
      <w:r>
        <w:t>This board has received or disposed of the following Petitions for Va</w:t>
      </w:r>
      <w:r w:rsidR="00920535">
        <w:t>riance or Waiver (if any):</w:t>
      </w:r>
      <w:r w:rsidR="002438D2">
        <w:t xml:space="preserve"> Received on October 23, 2013 from Jelena Vukov, P. E., seeking a waiver of Rule 61G15-20-007(1)(a), (b), (c) and (d), regarding educational requirements for applicants to demonstrate the completion of 32 semester credit hours or higher mathematics and basic science.</w:t>
      </w:r>
    </w:p>
    <w:p w:rsidR="004E142A" w:rsidRDefault="004E142A" w:rsidP="004E2A5D">
      <w:pPr>
        <w:pStyle w:val="BlockText"/>
        <w:ind w:left="1440"/>
      </w:pPr>
      <w:r>
        <w:tab/>
      </w:r>
    </w:p>
    <w:p w:rsidR="004E142A" w:rsidRDefault="004E142A" w:rsidP="004E142A">
      <w:pPr>
        <w:pStyle w:val="BlockText"/>
        <w:numPr>
          <w:ilvl w:val="0"/>
          <w:numId w:val="32"/>
        </w:numPr>
      </w:pPr>
      <w:r w:rsidRPr="009A1012">
        <w:rPr>
          <w:u w:val="single"/>
        </w:rPr>
        <w:t>Building Code Administrators and Inspectors</w:t>
      </w:r>
      <w:r>
        <w:t xml:space="preserve"> Board – Chapter 468, Part XII and 61G19 FAC: </w:t>
      </w:r>
    </w:p>
    <w:p w:rsidR="004E142A" w:rsidRDefault="004E142A" w:rsidP="004E142A">
      <w:pPr>
        <w:pStyle w:val="BlockText"/>
        <w:ind w:left="1440"/>
      </w:pPr>
    </w:p>
    <w:p w:rsidR="004E142A" w:rsidRDefault="00E1125C" w:rsidP="00E1125C">
      <w:pPr>
        <w:pStyle w:val="BlockText"/>
        <w:numPr>
          <w:ilvl w:val="1"/>
          <w:numId w:val="32"/>
        </w:numPr>
      </w:pPr>
      <w:r>
        <w:t>This board has proposed, adopted, repealed or amended the following rules (if any):</w:t>
      </w:r>
      <w:r w:rsidR="004204AE">
        <w:t xml:space="preserve"> None</w:t>
      </w:r>
      <w:r w:rsidR="00920535">
        <w:t xml:space="preserve"> noticed</w:t>
      </w:r>
      <w:r w:rsidR="004204AE">
        <w:t>.</w:t>
      </w:r>
    </w:p>
    <w:p w:rsidR="004E142A" w:rsidRDefault="004E142A" w:rsidP="004E142A">
      <w:pPr>
        <w:pStyle w:val="BlockText"/>
      </w:pPr>
    </w:p>
    <w:p w:rsidR="004E2A5D" w:rsidRDefault="004E142A" w:rsidP="004E142A">
      <w:pPr>
        <w:pStyle w:val="BlockText"/>
        <w:numPr>
          <w:ilvl w:val="1"/>
          <w:numId w:val="32"/>
        </w:numPr>
      </w:pPr>
      <w:r>
        <w:t>This board has received or disposed of the following Petitions for Declaratory Statement (if any</w:t>
      </w:r>
      <w:r w:rsidR="004E2A5D">
        <w:t>): None noticed.</w:t>
      </w:r>
    </w:p>
    <w:p w:rsidR="004E2A5D" w:rsidRDefault="004E2A5D" w:rsidP="004E2A5D">
      <w:pPr>
        <w:pStyle w:val="BlockText"/>
        <w:ind w:left="1800"/>
      </w:pPr>
    </w:p>
    <w:p w:rsidR="004E142A" w:rsidRDefault="004E142A" w:rsidP="004E142A">
      <w:pPr>
        <w:pStyle w:val="BlockText"/>
        <w:numPr>
          <w:ilvl w:val="1"/>
          <w:numId w:val="32"/>
        </w:numPr>
      </w:pPr>
      <w:r>
        <w:t xml:space="preserve">This board has received or disposed of the following Petitions for Variance or Waiver (if any): </w:t>
      </w:r>
      <w:r w:rsidR="004204AE">
        <w:t>None</w:t>
      </w:r>
      <w:r w:rsidR="00920535">
        <w:t xml:space="preserve"> noticed</w:t>
      </w:r>
      <w:r w:rsidR="004204AE">
        <w:t>.</w:t>
      </w:r>
    </w:p>
    <w:p w:rsidR="004E142A" w:rsidRPr="003134D3" w:rsidRDefault="004E142A" w:rsidP="004E142A">
      <w:pPr>
        <w:pStyle w:val="BlockText"/>
      </w:pPr>
    </w:p>
    <w:p w:rsidR="00941C32" w:rsidRDefault="004E142A" w:rsidP="00A82F6F">
      <w:pPr>
        <w:pStyle w:val="BlockText"/>
        <w:numPr>
          <w:ilvl w:val="0"/>
          <w:numId w:val="32"/>
        </w:numPr>
      </w:pPr>
      <w:r w:rsidRPr="00A82F6F">
        <w:rPr>
          <w:u w:val="single"/>
        </w:rPr>
        <w:t>Florida Building Commission</w:t>
      </w:r>
      <w:r>
        <w:rPr>
          <w:rStyle w:val="FootnoteReference"/>
          <w:u w:val="single"/>
        </w:rPr>
        <w:footnoteReference w:id="1"/>
      </w:r>
      <w:r>
        <w:t xml:space="preserve"> – Chapter 553, Part IV and Chapter 61G20, FAC): </w:t>
      </w:r>
    </w:p>
    <w:p w:rsidR="00920535" w:rsidRDefault="00920535" w:rsidP="00920535">
      <w:pPr>
        <w:pStyle w:val="BlockText"/>
        <w:ind w:left="1080"/>
      </w:pPr>
    </w:p>
    <w:p w:rsidR="004E2A5D" w:rsidRDefault="00E1125C" w:rsidP="003C4C6F">
      <w:pPr>
        <w:pStyle w:val="BlockText"/>
        <w:numPr>
          <w:ilvl w:val="1"/>
          <w:numId w:val="32"/>
        </w:numPr>
      </w:pPr>
      <w:r>
        <w:t>This board has proposed, adopted, repealed or amended the following rules (if any):</w:t>
      </w:r>
      <w:r w:rsidR="00920535">
        <w:t xml:space="preserve"> </w:t>
      </w:r>
      <w:r w:rsidR="00571120">
        <w:t>None noticed.</w:t>
      </w:r>
    </w:p>
    <w:p w:rsidR="00571120" w:rsidRDefault="00571120" w:rsidP="00571120">
      <w:pPr>
        <w:pStyle w:val="BlockText"/>
        <w:ind w:left="1800"/>
      </w:pPr>
    </w:p>
    <w:p w:rsidR="00571120" w:rsidRDefault="00E1125C" w:rsidP="00F054FC">
      <w:pPr>
        <w:pStyle w:val="BlockText"/>
        <w:numPr>
          <w:ilvl w:val="1"/>
          <w:numId w:val="32"/>
        </w:numPr>
      </w:pPr>
      <w:r>
        <w:t xml:space="preserve">This board has received or disposed of the following Petitions for </w:t>
      </w:r>
      <w:r w:rsidR="004E2A5D">
        <w:t xml:space="preserve">Declaratory Statement: </w:t>
      </w:r>
      <w:r w:rsidR="00571120">
        <w:t xml:space="preserve">None </w:t>
      </w:r>
      <w:r w:rsidR="00D255AC">
        <w:t>noticed.</w:t>
      </w:r>
    </w:p>
    <w:p w:rsidR="002438D2" w:rsidRDefault="002438D2" w:rsidP="002438D2">
      <w:pPr>
        <w:pStyle w:val="BlockText"/>
        <w:ind w:left="1800"/>
      </w:pPr>
    </w:p>
    <w:p w:rsidR="00571120" w:rsidRPr="00571120" w:rsidRDefault="00D255AC" w:rsidP="00571120">
      <w:pPr>
        <w:pStyle w:val="BlockText"/>
        <w:rPr>
          <w:b/>
        </w:rPr>
      </w:pPr>
      <w:r>
        <w:rPr>
          <w:b/>
          <w:u w:val="single"/>
        </w:rPr>
        <w:t xml:space="preserve">CODE </w:t>
      </w:r>
      <w:r w:rsidR="00571120" w:rsidRPr="00D255AC">
        <w:rPr>
          <w:b/>
          <w:u w:val="single"/>
        </w:rPr>
        <w:t>NOTE</w:t>
      </w:r>
      <w:r w:rsidR="00571120" w:rsidRPr="00D255AC">
        <w:rPr>
          <w:b/>
        </w:rPr>
        <w:t xml:space="preserve">: </w:t>
      </w:r>
      <w:r w:rsidR="00571120" w:rsidRPr="00571120">
        <w:rPr>
          <w:b/>
        </w:rPr>
        <w:t xml:space="preserve">Due to a delay in adoption of the latest NFPA fire codes, the effective date of the next Florida Building has been postponed until </w:t>
      </w:r>
      <w:r w:rsidR="00571120">
        <w:rPr>
          <w:b/>
        </w:rPr>
        <w:t>December 31, 201</w:t>
      </w:r>
      <w:r w:rsidR="00571120" w:rsidRPr="00571120">
        <w:rPr>
          <w:b/>
          <w:i/>
          <w:u w:val="single"/>
        </w:rPr>
        <w:t>4</w:t>
      </w:r>
      <w:r w:rsidR="00571120">
        <w:rPr>
          <w:b/>
          <w:i/>
          <w:u w:val="single"/>
        </w:rPr>
        <w:t xml:space="preserve"> </w:t>
      </w:r>
      <w:r w:rsidR="00571120">
        <w:rPr>
          <w:b/>
        </w:rPr>
        <w:t>and will be entitled "Florida Building Code 5</w:t>
      </w:r>
      <w:r w:rsidR="00571120" w:rsidRPr="00571120">
        <w:rPr>
          <w:b/>
          <w:vertAlign w:val="superscript"/>
        </w:rPr>
        <w:t>th</w:t>
      </w:r>
      <w:r w:rsidR="00571120">
        <w:rPr>
          <w:b/>
        </w:rPr>
        <w:t xml:space="preserve"> Edition (2014)."</w:t>
      </w:r>
    </w:p>
    <w:p w:rsidR="00571120" w:rsidRPr="00571120" w:rsidRDefault="00571120" w:rsidP="00571120">
      <w:pPr>
        <w:pStyle w:val="BlockText"/>
        <w:rPr>
          <w:b/>
        </w:rPr>
      </w:pPr>
    </w:p>
    <w:p w:rsidR="000340FB" w:rsidRDefault="00941C32" w:rsidP="0017187B">
      <w:pPr>
        <w:pStyle w:val="BlockText"/>
        <w:ind w:firstLine="720"/>
      </w:pPr>
      <w:r>
        <w:t xml:space="preserve">8. </w:t>
      </w:r>
      <w:r w:rsidRPr="00941C32">
        <w:rPr>
          <w:u w:val="single"/>
        </w:rPr>
        <w:t>DBPR/Home Inspectors:</w:t>
      </w:r>
      <w:r>
        <w:t xml:space="preserve"> </w:t>
      </w:r>
      <w:r w:rsidR="002438D2">
        <w:t>The agency has published notice of rule making pursuant to Chapter 61-31, Sections .101-.702 F. A. C., regarding licensing of mold related services.</w:t>
      </w:r>
    </w:p>
    <w:p w:rsidR="004E2A5D" w:rsidRDefault="004E2A5D" w:rsidP="004E2A5D">
      <w:pPr>
        <w:pStyle w:val="BlockText"/>
      </w:pPr>
    </w:p>
    <w:p w:rsidR="000340FB" w:rsidRDefault="000340FB" w:rsidP="00941C32">
      <w:pPr>
        <w:pStyle w:val="BlockText"/>
        <w:ind w:left="720"/>
      </w:pPr>
      <w:r>
        <w:t xml:space="preserve">9. </w:t>
      </w:r>
      <w:r w:rsidRPr="000340FB">
        <w:rPr>
          <w:u w:val="single"/>
        </w:rPr>
        <w:t>Board of Professional Geologists:</w:t>
      </w:r>
      <w:r>
        <w:t xml:space="preserve"> Chapter 492, Florida Statutes, and Rule Chapter 61G16, F.A.C.</w:t>
      </w:r>
      <w:r w:rsidR="00F054FC">
        <w:t>: Nothing to report.</w:t>
      </w:r>
    </w:p>
    <w:p w:rsidR="00436BA2" w:rsidRDefault="00436BA2" w:rsidP="00941C32">
      <w:pPr>
        <w:pStyle w:val="BlockText"/>
        <w:ind w:left="720"/>
      </w:pPr>
    </w:p>
    <w:p w:rsidR="004E142A" w:rsidRDefault="00436BA2" w:rsidP="004E142A">
      <w:pPr>
        <w:pStyle w:val="BlockText"/>
        <w:ind w:left="1080"/>
        <w:rPr>
          <w:rStyle w:val="text"/>
          <w:rFonts w:ascii="Verdana" w:hAnsi="Verdana"/>
          <w:color w:val="000080"/>
          <w:sz w:val="20"/>
          <w:szCs w:val="20"/>
        </w:rPr>
      </w:pPr>
      <w:r>
        <w:rPr>
          <w:rStyle w:val="text"/>
          <w:rFonts w:ascii="Verdana" w:hAnsi="Verdana"/>
          <w:color w:val="000080"/>
          <w:sz w:val="20"/>
          <w:szCs w:val="20"/>
        </w:rPr>
        <w:t>“Geology” means the science which includes the treatment of the earth and its origin and history, in general; the investigation of the earth’s crust and interior and the solids and fluids, including all surface and underground waters, and gases which compose the earth; the study of the natural agents, forces, and processes which cause changes in the earth; and the utilization of this knowledge of the earth and its solids, fluids, and gases, and their collective properties and processes, for the benefit of humankind.</w:t>
      </w:r>
    </w:p>
    <w:p w:rsidR="0094577A" w:rsidRDefault="0094577A" w:rsidP="0094577A">
      <w:pPr>
        <w:pStyle w:val="BlockText"/>
      </w:pPr>
    </w:p>
    <w:p w:rsidR="0094577A" w:rsidRDefault="0094577A" w:rsidP="0094577A">
      <w:pPr>
        <w:pStyle w:val="BlockText"/>
        <w:ind w:left="720"/>
      </w:pPr>
      <w:r>
        <w:t>10</w:t>
      </w:r>
      <w:r w:rsidRPr="00427E2F">
        <w:rPr>
          <w:u w:val="single"/>
        </w:rPr>
        <w:t>. Division of Hotels and Restaurants: Elevator Safety</w:t>
      </w:r>
      <w:r>
        <w:t xml:space="preserve"> - Chapter 399, Florida Statutes</w:t>
      </w:r>
      <w:r w:rsidR="00E64091">
        <w:t xml:space="preserve"> (which excludes private residential elevators)</w:t>
      </w:r>
      <w:r>
        <w:t xml:space="preserve">, and Chapter </w:t>
      </w:r>
      <w:r w:rsidR="00427E2F">
        <w:t>61C-5, F.A.C.</w:t>
      </w:r>
      <w:r w:rsidR="004E2A5D">
        <w:t xml:space="preserve"> Nothing to report.</w:t>
      </w:r>
    </w:p>
    <w:p w:rsidR="00427E2F" w:rsidRPr="0094577A" w:rsidRDefault="00427E2F" w:rsidP="004E2A5D">
      <w:pPr>
        <w:pStyle w:val="BlockText"/>
      </w:pPr>
    </w:p>
    <w:p w:rsidR="004E142A" w:rsidRDefault="00DE52F2" w:rsidP="00DE52F2">
      <w:pPr>
        <w:pStyle w:val="BlockText"/>
        <w:rPr>
          <w:b/>
        </w:rPr>
      </w:pPr>
      <w:r>
        <w:rPr>
          <w:b/>
        </w:rPr>
        <w:t xml:space="preserve">B. Department of </w:t>
      </w:r>
      <w:r w:rsidR="004E142A" w:rsidRPr="0094577A">
        <w:rPr>
          <w:b/>
        </w:rPr>
        <w:t>Environmental Protection</w:t>
      </w:r>
      <w:r>
        <w:rPr>
          <w:b/>
        </w:rPr>
        <w:t xml:space="preserve">: </w:t>
      </w:r>
    </w:p>
    <w:p w:rsidR="00DE52F2" w:rsidRDefault="00DE52F2" w:rsidP="00DE52F2">
      <w:pPr>
        <w:pStyle w:val="BlockText"/>
        <w:rPr>
          <w:b/>
        </w:rPr>
      </w:pPr>
    </w:p>
    <w:p w:rsidR="00DE52F2" w:rsidRDefault="00DE52F2" w:rsidP="00E64091">
      <w:pPr>
        <w:pStyle w:val="BlockText"/>
        <w:ind w:left="720"/>
      </w:pPr>
      <w:r>
        <w:t>1. Water Well Contractors: Chapter 373, Par</w:t>
      </w:r>
      <w:r w:rsidR="00E64091">
        <w:t>t II (licensing and regulation): House Bill 999, effective Jul</w:t>
      </w:r>
      <w:r w:rsidR="00F054FC">
        <w:t xml:space="preserve">y 1, 2013, will </w:t>
      </w:r>
      <w:r w:rsidR="00E64091">
        <w:t>repeal Rule 62-531-340(1)(d), which is a $14 per CEU fee for license renewal.</w:t>
      </w:r>
    </w:p>
    <w:p w:rsidR="00DE52F2" w:rsidRDefault="00DE52F2" w:rsidP="00DE52F2">
      <w:pPr>
        <w:pStyle w:val="BlockText"/>
      </w:pPr>
    </w:p>
    <w:p w:rsidR="00DE52F2" w:rsidRPr="00DE52F2" w:rsidRDefault="00DE52F2" w:rsidP="00DE52F2">
      <w:pPr>
        <w:pStyle w:val="BlockText"/>
      </w:pPr>
      <w:r>
        <w:tab/>
        <w:t xml:space="preserve">2. Consumptive Use Permits: </w:t>
      </w:r>
      <w:r w:rsidR="00E64091">
        <w:t>Chapter 373, Part II: Noting to report.</w:t>
      </w:r>
    </w:p>
    <w:p w:rsidR="004E142A" w:rsidRPr="002E2A6D" w:rsidRDefault="004E142A" w:rsidP="004E142A">
      <w:pPr>
        <w:pStyle w:val="BlockText"/>
        <w:ind w:left="720"/>
      </w:pPr>
    </w:p>
    <w:p w:rsidR="004E142A" w:rsidRDefault="00DE52F2" w:rsidP="00DE52F2">
      <w:pPr>
        <w:pStyle w:val="BlockText"/>
        <w:rPr>
          <w:b/>
        </w:rPr>
      </w:pPr>
      <w:r>
        <w:rPr>
          <w:b/>
        </w:rPr>
        <w:t xml:space="preserve">C. Department of </w:t>
      </w:r>
      <w:r w:rsidR="004E142A" w:rsidRPr="006577D7">
        <w:rPr>
          <w:b/>
        </w:rPr>
        <w:t>Health</w:t>
      </w:r>
      <w:r w:rsidR="004E142A">
        <w:t xml:space="preserve">: </w:t>
      </w:r>
      <w:r w:rsidR="004E142A" w:rsidRPr="00922A6D">
        <w:rPr>
          <w:b/>
        </w:rPr>
        <w:t xml:space="preserve">Water Quality/Septic Tanks – Chapter 381 and 64E FAC: </w:t>
      </w:r>
      <w:r w:rsidR="004E142A">
        <w:rPr>
          <w:b/>
        </w:rPr>
        <w:t xml:space="preserve">Chapter 2012-184, Laws of Florida, </w:t>
      </w:r>
      <w:r w:rsidR="004E142A" w:rsidRPr="000B0E17">
        <w:rPr>
          <w:b/>
          <w:u w:val="single"/>
        </w:rPr>
        <w:t>effective April 27, 2012</w:t>
      </w:r>
      <w:r w:rsidR="004E142A">
        <w:rPr>
          <w:b/>
        </w:rPr>
        <w:t>, mad</w:t>
      </w:r>
      <w:r w:rsidR="004E142A" w:rsidRPr="00922A6D">
        <w:rPr>
          <w:b/>
        </w:rPr>
        <w:t>e</w:t>
      </w:r>
      <w:r w:rsidR="004E142A">
        <w:rPr>
          <w:b/>
        </w:rPr>
        <w:t xml:space="preserve"> the following changes: </w:t>
      </w:r>
    </w:p>
    <w:p w:rsidR="004E142A" w:rsidRDefault="004E142A" w:rsidP="004E142A">
      <w:pPr>
        <w:pStyle w:val="ListParagraph"/>
      </w:pPr>
    </w:p>
    <w:p w:rsidR="004E142A" w:rsidRDefault="004E142A" w:rsidP="004E142A">
      <w:pPr>
        <w:pStyle w:val="BlockText"/>
        <w:ind w:left="720"/>
      </w:pPr>
      <w:r>
        <w:t>Reminder: The Department of Health’s authority for plan review and approval of swimming pools and bathing pools was repealed and given to local government in accordance with the Florida Building Code.</w:t>
      </w:r>
    </w:p>
    <w:p w:rsidR="004E142A" w:rsidRDefault="004E142A" w:rsidP="004E142A">
      <w:pPr>
        <w:pStyle w:val="BlockText"/>
        <w:ind w:left="720"/>
        <w:rPr>
          <w:b/>
        </w:rPr>
      </w:pPr>
    </w:p>
    <w:p w:rsidR="004E142A" w:rsidRPr="00A9360E" w:rsidRDefault="008476AE" w:rsidP="004E142A">
      <w:pPr>
        <w:pStyle w:val="BlockText"/>
        <w:ind w:left="720"/>
        <w:rPr>
          <w:b/>
        </w:rPr>
      </w:pPr>
      <w:r>
        <w:t xml:space="preserve">Reminder: </w:t>
      </w:r>
      <w:r w:rsidR="004E142A">
        <w:t>Section 381.0065(5), requiring periodic inspections of on-site sewerage disposal systems (“septic tanks”) has been repealed, and authority to impose such requirements was authorized for local governments whose boundaries include a “first magnitude spring,” as defined in the bill. None of these 19 local jurisdiction</w:t>
      </w:r>
      <w:r w:rsidR="00436BA2">
        <w:t>s</w:t>
      </w:r>
      <w:r w:rsidR="004E142A">
        <w:t xml:space="preserve"> have opted to implement such a program at this time.</w:t>
      </w:r>
    </w:p>
    <w:p w:rsidR="004E142A" w:rsidRDefault="004E142A" w:rsidP="004E142A">
      <w:pPr>
        <w:pStyle w:val="ListParagraph"/>
      </w:pPr>
    </w:p>
    <w:p w:rsidR="008F58B8" w:rsidRDefault="00DE52F2" w:rsidP="00DE52F2">
      <w:pPr>
        <w:pStyle w:val="BlockText"/>
      </w:pPr>
      <w:r>
        <w:rPr>
          <w:b/>
        </w:rPr>
        <w:t xml:space="preserve">D. Department of </w:t>
      </w:r>
      <w:r w:rsidR="004E142A" w:rsidRPr="00251EB1">
        <w:rPr>
          <w:b/>
        </w:rPr>
        <w:t>Financial Services</w:t>
      </w:r>
      <w:r w:rsidR="004E142A">
        <w:t xml:space="preserve">: </w:t>
      </w:r>
    </w:p>
    <w:p w:rsidR="00436BA2" w:rsidRDefault="00436BA2" w:rsidP="00436BA2">
      <w:pPr>
        <w:pStyle w:val="BlockText"/>
        <w:ind w:left="720"/>
      </w:pPr>
    </w:p>
    <w:p w:rsidR="00436BA2" w:rsidRDefault="00DE52F2" w:rsidP="00DE52F2">
      <w:pPr>
        <w:pStyle w:val="BlockText"/>
        <w:ind w:firstLine="360"/>
      </w:pPr>
      <w:r>
        <w:t xml:space="preserve">1. </w:t>
      </w:r>
      <w:r w:rsidR="00436BA2">
        <w:t>Boiler Safety Act - Chapter 554, F. S., and Chapter 69A-51, F.A.C.</w:t>
      </w:r>
      <w:r w:rsidR="008476AE">
        <w:t>: Nothing to report.</w:t>
      </w:r>
    </w:p>
    <w:p w:rsidR="008F58B8" w:rsidRDefault="008F58B8" w:rsidP="008F58B8">
      <w:pPr>
        <w:pStyle w:val="BlockText"/>
        <w:ind w:left="720"/>
      </w:pPr>
    </w:p>
    <w:p w:rsidR="004E142A" w:rsidRDefault="0001260C" w:rsidP="00DE52F2">
      <w:pPr>
        <w:pStyle w:val="BlockText"/>
        <w:ind w:firstLine="360"/>
      </w:pPr>
      <w:r>
        <w:t>2.</w:t>
      </w:r>
      <w:r w:rsidR="00DE52F2">
        <w:t xml:space="preserve"> </w:t>
      </w:r>
      <w:r w:rsidR="004E142A">
        <w:t xml:space="preserve">Workers’ Compensation Insurance – Chapter 440 and 69L FAC: </w:t>
      </w:r>
    </w:p>
    <w:p w:rsidR="004E142A" w:rsidRDefault="004E142A" w:rsidP="004E142A">
      <w:pPr>
        <w:pStyle w:val="BlockText"/>
        <w:ind w:left="720"/>
      </w:pPr>
      <w:r>
        <w:t>]</w:t>
      </w:r>
    </w:p>
    <w:p w:rsidR="004E142A" w:rsidRDefault="004E142A" w:rsidP="008F58B8">
      <w:pPr>
        <w:pStyle w:val="BlockText"/>
        <w:ind w:left="1080"/>
      </w:pPr>
      <w:r w:rsidRPr="0029168D">
        <w:rPr>
          <w:b/>
          <w:u w:val="single"/>
        </w:rPr>
        <w:t>NOTICE:</w:t>
      </w:r>
      <w:r>
        <w:t xml:space="preserve"> As of </w:t>
      </w:r>
      <w:r w:rsidRPr="000B0E17">
        <w:rPr>
          <w:u w:val="single"/>
        </w:rPr>
        <w:t>July 1, 2012</w:t>
      </w:r>
      <w:r>
        <w:t xml:space="preserve">, applications for exemption from workers’ compensation insurance can be made on-line at </w:t>
      </w:r>
      <w:r w:rsidRPr="0029168D">
        <w:rPr>
          <w:u w:val="single"/>
        </w:rPr>
        <w:t>myfloridacfo.com/wc</w:t>
      </w:r>
      <w:r>
        <w:t>. Such applications will no longer have to be notarized; while applicants will be required to provide Florida driver’s license number or Florida identification card and date of birth, copies of ownership documents will no longer be required. However, for construction business, the law regarding exemptions continues to allow up to three (3) individuals to be exempt at the same time, provided that each one owns at least 10% of the business.</w:t>
      </w:r>
    </w:p>
    <w:p w:rsidR="004E142A" w:rsidRDefault="004E142A" w:rsidP="004E142A">
      <w:pPr>
        <w:pStyle w:val="BlockText"/>
        <w:ind w:left="360"/>
      </w:pPr>
    </w:p>
    <w:p w:rsidR="004E142A" w:rsidRDefault="004E142A" w:rsidP="0001260C">
      <w:pPr>
        <w:pStyle w:val="BlockText"/>
        <w:ind w:left="1080"/>
      </w:pPr>
      <w:r w:rsidRPr="00252DC4">
        <w:rPr>
          <w:b/>
          <w:u w:val="single"/>
        </w:rPr>
        <w:t>Warning:</w:t>
      </w:r>
      <w:r>
        <w:t xml:space="preserve"> Insurance carriers and their representative joint underwriter association appear to </w:t>
      </w:r>
      <w:r w:rsidR="00571120">
        <w:t xml:space="preserve">now be </w:t>
      </w:r>
      <w:r>
        <w:t>checking for policies or exemptions issued to recently qualified businesses, and filing complaints with DBPR for those who do not have either. While the current licensure application forms purport to require such insurance coverage within thirty (30) days of licensure, there does not appear to be any statutory requirement for WC coverage until a business has a payroll.</w:t>
      </w:r>
    </w:p>
    <w:p w:rsidR="0001260C" w:rsidRDefault="0001260C" w:rsidP="004E142A">
      <w:pPr>
        <w:pStyle w:val="BlockText"/>
        <w:ind w:left="360"/>
      </w:pPr>
    </w:p>
    <w:p w:rsidR="004E142A" w:rsidRDefault="004E142A" w:rsidP="008F58B8">
      <w:pPr>
        <w:pStyle w:val="BlockText"/>
        <w:ind w:left="108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01260C" w:rsidRDefault="0001260C" w:rsidP="008F58B8">
      <w:pPr>
        <w:pStyle w:val="BlockText"/>
        <w:ind w:left="1080"/>
      </w:pPr>
    </w:p>
    <w:p w:rsidR="008476AE" w:rsidRDefault="0001260C" w:rsidP="0001260C">
      <w:pPr>
        <w:pStyle w:val="BlockText"/>
        <w:ind w:left="360"/>
      </w:pPr>
      <w:r>
        <w:t xml:space="preserve">3. Office of State Fire Marshal - Chapter 633, Florida Statutes and Chapter 69A, F.C.A.: </w:t>
      </w:r>
    </w:p>
    <w:p w:rsidR="008476AE" w:rsidRDefault="008476AE" w:rsidP="0001260C">
      <w:pPr>
        <w:pStyle w:val="BlockText"/>
        <w:ind w:left="360"/>
      </w:pPr>
    </w:p>
    <w:p w:rsidR="0001260C" w:rsidRDefault="008476AE" w:rsidP="0001260C">
      <w:pPr>
        <w:pStyle w:val="BlockText"/>
        <w:ind w:left="360"/>
      </w:pPr>
      <w:r>
        <w:t xml:space="preserve">Reminder: </w:t>
      </w:r>
      <w:r w:rsidR="0001260C">
        <w:t>Rule 69A-60.003, amended effective May 1, 2013, adopts the NPR 1, the Fire Code, Florida 2009 edition (as amended 3/2013 to add Section 18.4.1.3 to Section 18.4 - Fire Flow Requirements for Buildings).</w:t>
      </w:r>
    </w:p>
    <w:p w:rsidR="008476AE" w:rsidRDefault="008476AE" w:rsidP="0001260C">
      <w:pPr>
        <w:pStyle w:val="BlockText"/>
        <w:ind w:left="360"/>
      </w:pPr>
    </w:p>
    <w:p w:rsidR="0001260C" w:rsidRDefault="00757661" w:rsidP="00757661">
      <w:pPr>
        <w:pStyle w:val="BlockText"/>
        <w:ind w:left="360"/>
      </w:pPr>
      <w:r>
        <w:rPr>
          <w:u w:val="single"/>
        </w:rPr>
        <w:t>Note:</w:t>
      </w:r>
      <w:r>
        <w:t xml:space="preserve"> Section 1 of Senate Bill 1122, effect</w:t>
      </w:r>
      <w:r w:rsidR="00E17AA2">
        <w:t xml:space="preserve">ive July 1, 2013 </w:t>
      </w:r>
      <w:r>
        <w:t>creates a new section 633.0215(6)(b) which EXMEPTS certain structures from application of the Florida Fire Prevention Code.</w:t>
      </w:r>
    </w:p>
    <w:p w:rsidR="00F00476" w:rsidRDefault="00F00476" w:rsidP="00F00476">
      <w:pPr>
        <w:pStyle w:val="BlockText"/>
      </w:pPr>
    </w:p>
    <w:p w:rsidR="00D255AC" w:rsidRDefault="00D255AC" w:rsidP="00F00476">
      <w:pPr>
        <w:pStyle w:val="BlockText"/>
        <w:rPr>
          <w:b/>
          <w:i/>
          <w:u w:val="single"/>
        </w:rPr>
      </w:pPr>
    </w:p>
    <w:p w:rsidR="00D255AC" w:rsidRDefault="00D255AC" w:rsidP="00F00476">
      <w:pPr>
        <w:pStyle w:val="BlockText"/>
        <w:rPr>
          <w:b/>
          <w:i/>
          <w:u w:val="single"/>
        </w:rPr>
      </w:pPr>
    </w:p>
    <w:p w:rsidR="00F00476" w:rsidRPr="00F00476" w:rsidRDefault="00F00476" w:rsidP="00F00476">
      <w:pPr>
        <w:pStyle w:val="BlockText"/>
        <w:rPr>
          <w:b/>
          <w:i/>
          <w:u w:val="single"/>
        </w:rPr>
      </w:pPr>
      <w:r w:rsidRPr="00F00476">
        <w:rPr>
          <w:b/>
          <w:i/>
          <w:u w:val="single"/>
        </w:rPr>
        <w:t>ALERT: As a result of 2013 legislation, some panhandle development permits are eligible for 6-month extension due to Tropical Storm Karen.</w:t>
      </w:r>
    </w:p>
    <w:p w:rsidR="00D255AC" w:rsidRDefault="00D255AC" w:rsidP="008476AE">
      <w:pPr>
        <w:pStyle w:val="BlockText"/>
        <w:rPr>
          <w:b/>
          <w:u w:val="single"/>
        </w:rPr>
      </w:pPr>
    </w:p>
    <w:p w:rsidR="00D255AC" w:rsidRDefault="00D255AC" w:rsidP="008476AE">
      <w:pPr>
        <w:pStyle w:val="BlockText"/>
        <w:rPr>
          <w:b/>
          <w:u w:val="single"/>
        </w:rPr>
      </w:pPr>
    </w:p>
    <w:p w:rsidR="00D255AC" w:rsidRDefault="00D255AC" w:rsidP="008476AE">
      <w:pPr>
        <w:pStyle w:val="BlockText"/>
        <w:rPr>
          <w:b/>
          <w:u w:val="single"/>
        </w:rPr>
      </w:pPr>
    </w:p>
    <w:p w:rsidR="00D255AC" w:rsidRDefault="00D255AC" w:rsidP="008476AE">
      <w:pPr>
        <w:pStyle w:val="BlockText"/>
        <w:rPr>
          <w:b/>
          <w:u w:val="single"/>
        </w:rPr>
      </w:pPr>
    </w:p>
    <w:p w:rsidR="00F00476" w:rsidRDefault="00CF37B7" w:rsidP="008476AE">
      <w:pPr>
        <w:pStyle w:val="BlockText"/>
      </w:pPr>
      <w:r w:rsidRPr="00CD02EB">
        <w:rPr>
          <w:b/>
          <w:u w:val="single"/>
        </w:rPr>
        <w:t>Legislative Action:</w:t>
      </w:r>
      <w:r w:rsidR="00156092">
        <w:t xml:space="preserve"> </w:t>
      </w:r>
      <w:r w:rsidR="006E3B26">
        <w:t>The regularly schedule</w:t>
      </w:r>
      <w:r w:rsidR="00436BA2">
        <w:t>d</w:t>
      </w:r>
      <w:r w:rsidR="006E3B26">
        <w:t xml:space="preserve"> legislati</w:t>
      </w:r>
      <w:r w:rsidR="007F63B9">
        <w:t>ve session</w:t>
      </w:r>
      <w:r w:rsidR="008476AE">
        <w:t xml:space="preserve"> for 2014</w:t>
      </w:r>
      <w:r w:rsidR="002935A9">
        <w:t xml:space="preserve"> will begin on March 4, 2014 for sixty (60) calendar days, with a scheduled ending on May 2</w:t>
      </w:r>
      <w:r w:rsidR="002935A9" w:rsidRPr="002935A9">
        <w:rPr>
          <w:vertAlign w:val="superscript"/>
        </w:rPr>
        <w:t>nd</w:t>
      </w:r>
      <w:r w:rsidR="002935A9">
        <w:t xml:space="preserve">. </w:t>
      </w:r>
      <w:r w:rsidR="00F054FC">
        <w:t>To date</w:t>
      </w:r>
      <w:r w:rsidR="002935A9">
        <w:t>, the following construction related bills have been filed:</w:t>
      </w:r>
    </w:p>
    <w:p w:rsidR="002438D2" w:rsidRDefault="002438D2" w:rsidP="008476AE">
      <w:pPr>
        <w:pStyle w:val="BlockText"/>
      </w:pPr>
    </w:p>
    <w:tbl>
      <w:tblPr>
        <w:tblW w:w="4900" w:type="pct"/>
        <w:jc w:val="center"/>
        <w:tblCellSpacing w:w="0" w:type="dxa"/>
        <w:tblCellMar>
          <w:top w:w="10" w:type="dxa"/>
          <w:left w:w="10" w:type="dxa"/>
          <w:bottom w:w="10" w:type="dxa"/>
          <w:right w:w="10" w:type="dxa"/>
        </w:tblCellMar>
        <w:tblLook w:val="04A0"/>
      </w:tblPr>
      <w:tblGrid>
        <w:gridCol w:w="998"/>
        <w:gridCol w:w="4989"/>
        <w:gridCol w:w="1994"/>
        <w:gridCol w:w="998"/>
        <w:gridCol w:w="99"/>
        <w:gridCol w:w="132"/>
        <w:gridCol w:w="132"/>
        <w:gridCol w:w="133"/>
      </w:tblGrid>
      <w:tr w:rsidR="002A5595" w:rsidTr="002A5595">
        <w:trPr>
          <w:tblCellSpacing w:w="0" w:type="dxa"/>
          <w:jc w:val="center"/>
        </w:trPr>
        <w:tc>
          <w:tcPr>
            <w:tcW w:w="0" w:type="auto"/>
            <w:gridSpan w:val="8"/>
            <w:vAlign w:val="center"/>
            <w:hideMark/>
          </w:tcPr>
          <w:tbl>
            <w:tblPr>
              <w:tblW w:w="5000" w:type="pct"/>
              <w:tblCellSpacing w:w="0" w:type="dxa"/>
              <w:tblCellMar>
                <w:top w:w="10" w:type="dxa"/>
                <w:left w:w="10" w:type="dxa"/>
                <w:bottom w:w="10" w:type="dxa"/>
                <w:right w:w="10" w:type="dxa"/>
              </w:tblCellMar>
              <w:tblLook w:val="04A0"/>
            </w:tblPr>
            <w:tblGrid>
              <w:gridCol w:w="8805"/>
              <w:gridCol w:w="650"/>
            </w:tblGrid>
            <w:tr w:rsidR="002A5595" w:rsidRPr="00F00476">
              <w:trPr>
                <w:tblCellSpacing w:w="0" w:type="dxa"/>
              </w:trPr>
              <w:tc>
                <w:tcPr>
                  <w:tcW w:w="0" w:type="auto"/>
                  <w:shd w:val="clear" w:color="auto" w:fill="003366"/>
                  <w:tcMar>
                    <w:top w:w="30" w:type="dxa"/>
                    <w:left w:w="50" w:type="dxa"/>
                    <w:bottom w:w="30" w:type="dxa"/>
                    <w:right w:w="50" w:type="dxa"/>
                  </w:tcMar>
                  <w:vAlign w:val="center"/>
                  <w:hideMark/>
                </w:tcPr>
                <w:p w:rsidR="002A5595" w:rsidRPr="00F00476" w:rsidRDefault="002A5595">
                  <w:pPr>
                    <w:rPr>
                      <w:rFonts w:ascii="Arial" w:hAnsi="Arial" w:cs="Arial"/>
                      <w:b/>
                      <w:bCs/>
                      <w:color w:val="FFFFFF"/>
                      <w:sz w:val="20"/>
                      <w:szCs w:val="20"/>
                    </w:rPr>
                  </w:pPr>
                  <w:r w:rsidRPr="00F00476">
                    <w:rPr>
                      <w:rFonts w:ascii="Arial" w:hAnsi="Arial" w:cs="Arial"/>
                      <w:b/>
                      <w:bCs/>
                      <w:color w:val="FFFFFF"/>
                      <w:sz w:val="20"/>
                      <w:szCs w:val="20"/>
                    </w:rPr>
                    <w:t xml:space="preserve">2014 Bills (10) </w:t>
                  </w:r>
                </w:p>
              </w:tc>
              <w:tc>
                <w:tcPr>
                  <w:tcW w:w="0" w:type="auto"/>
                  <w:shd w:val="clear" w:color="auto" w:fill="003366"/>
                  <w:tcMar>
                    <w:top w:w="30" w:type="dxa"/>
                    <w:left w:w="50" w:type="dxa"/>
                    <w:bottom w:w="30" w:type="dxa"/>
                    <w:right w:w="50" w:type="dxa"/>
                  </w:tcMar>
                  <w:vAlign w:val="center"/>
                  <w:hideMark/>
                </w:tcPr>
                <w:p w:rsidR="002A5595" w:rsidRPr="00F00476" w:rsidRDefault="002A5595">
                  <w:pPr>
                    <w:jc w:val="right"/>
                    <w:rPr>
                      <w:rFonts w:ascii="Arial" w:hAnsi="Arial" w:cs="Arial"/>
                      <w:b/>
                      <w:bCs/>
                      <w:color w:val="FFFFFF"/>
                      <w:sz w:val="20"/>
                      <w:szCs w:val="20"/>
                    </w:rPr>
                  </w:pPr>
                </w:p>
              </w:tc>
            </w:tr>
          </w:tbl>
          <w:p w:rsidR="002A5595" w:rsidRPr="00F00476" w:rsidRDefault="002A5595">
            <w:pPr>
              <w:rPr>
                <w:rFonts w:ascii="Arial" w:hAnsi="Arial" w:cs="Arial"/>
                <w:sz w:val="20"/>
                <w:szCs w:val="20"/>
              </w:rPr>
            </w:pPr>
          </w:p>
        </w:tc>
      </w:tr>
      <w:tr w:rsidR="002A5595" w:rsidTr="002A5595">
        <w:trPr>
          <w:tblCellSpacing w:w="0" w:type="dxa"/>
          <w:jc w:val="center"/>
        </w:trPr>
        <w:tc>
          <w:tcPr>
            <w:tcW w:w="500" w:type="pct"/>
            <w:shd w:val="clear" w:color="auto" w:fill="EEEEEE"/>
            <w:vAlign w:val="center"/>
            <w:hideMark/>
          </w:tcPr>
          <w:p w:rsidR="002A5595" w:rsidRPr="00F00476" w:rsidRDefault="002A5595">
            <w:pPr>
              <w:rPr>
                <w:rFonts w:ascii="Arial" w:hAnsi="Arial" w:cs="Arial"/>
                <w:b/>
                <w:bCs/>
                <w:color w:val="000000"/>
                <w:sz w:val="20"/>
                <w:szCs w:val="20"/>
              </w:rPr>
            </w:pPr>
            <w:r w:rsidRPr="00F00476">
              <w:rPr>
                <w:rFonts w:ascii="Arial" w:hAnsi="Arial" w:cs="Arial"/>
                <w:b/>
                <w:bCs/>
                <w:color w:val="000000"/>
                <w:sz w:val="20"/>
                <w:szCs w:val="20"/>
              </w:rPr>
              <w:t>Num</w:t>
            </w:r>
          </w:p>
        </w:tc>
        <w:tc>
          <w:tcPr>
            <w:tcW w:w="2500" w:type="pct"/>
            <w:shd w:val="clear" w:color="auto" w:fill="EEEEEE"/>
            <w:vAlign w:val="center"/>
            <w:hideMark/>
          </w:tcPr>
          <w:p w:rsidR="002A5595" w:rsidRPr="00F00476" w:rsidRDefault="002A5595">
            <w:pPr>
              <w:rPr>
                <w:rFonts w:ascii="Arial" w:hAnsi="Arial" w:cs="Arial"/>
                <w:b/>
                <w:bCs/>
                <w:color w:val="000000"/>
                <w:sz w:val="20"/>
                <w:szCs w:val="20"/>
              </w:rPr>
            </w:pPr>
            <w:r w:rsidRPr="00F00476">
              <w:rPr>
                <w:rFonts w:ascii="Arial" w:hAnsi="Arial" w:cs="Arial"/>
                <w:b/>
                <w:bCs/>
                <w:color w:val="000000"/>
                <w:sz w:val="20"/>
                <w:szCs w:val="20"/>
              </w:rPr>
              <w:t>Title</w:t>
            </w:r>
          </w:p>
        </w:tc>
        <w:tc>
          <w:tcPr>
            <w:tcW w:w="1000" w:type="pct"/>
            <w:shd w:val="clear" w:color="auto" w:fill="EEEEEE"/>
            <w:vAlign w:val="center"/>
            <w:hideMark/>
          </w:tcPr>
          <w:p w:rsidR="002A5595" w:rsidRPr="00F00476" w:rsidRDefault="002A5595">
            <w:pPr>
              <w:rPr>
                <w:rFonts w:ascii="Arial" w:hAnsi="Arial" w:cs="Arial"/>
                <w:b/>
                <w:bCs/>
                <w:color w:val="000000"/>
                <w:sz w:val="20"/>
                <w:szCs w:val="20"/>
              </w:rPr>
            </w:pPr>
            <w:r w:rsidRPr="00F00476">
              <w:rPr>
                <w:rFonts w:ascii="Arial" w:hAnsi="Arial" w:cs="Arial"/>
                <w:b/>
                <w:bCs/>
                <w:color w:val="000000"/>
                <w:sz w:val="20"/>
                <w:szCs w:val="20"/>
              </w:rPr>
              <w:t>Sponsor</w:t>
            </w:r>
          </w:p>
        </w:tc>
        <w:tc>
          <w:tcPr>
            <w:tcW w:w="500" w:type="pct"/>
            <w:shd w:val="clear" w:color="auto" w:fill="EEEEEE"/>
            <w:vAlign w:val="center"/>
            <w:hideMark/>
          </w:tcPr>
          <w:p w:rsidR="002A5595" w:rsidRPr="00F00476" w:rsidRDefault="002A5595">
            <w:pPr>
              <w:rPr>
                <w:rFonts w:ascii="Arial" w:hAnsi="Arial" w:cs="Arial"/>
                <w:b/>
                <w:bCs/>
                <w:color w:val="000000"/>
                <w:sz w:val="20"/>
                <w:szCs w:val="20"/>
              </w:rPr>
            </w:pPr>
          </w:p>
        </w:tc>
        <w:tc>
          <w:tcPr>
            <w:tcW w:w="50" w:type="pct"/>
            <w:shd w:val="clear" w:color="auto" w:fill="EEEEEE"/>
            <w:vAlign w:val="center"/>
            <w:hideMark/>
          </w:tcPr>
          <w:p w:rsidR="002A5595" w:rsidRPr="00F00476" w:rsidRDefault="002A5595">
            <w:pPr>
              <w:rPr>
                <w:rFonts w:ascii="Arial" w:hAnsi="Arial" w:cs="Arial"/>
                <w:b/>
                <w:bCs/>
                <w:color w:val="000000"/>
                <w:sz w:val="20"/>
                <w:szCs w:val="20"/>
              </w:rPr>
            </w:pPr>
          </w:p>
        </w:tc>
        <w:tc>
          <w:tcPr>
            <w:tcW w:w="200" w:type="pct"/>
            <w:gridSpan w:val="3"/>
            <w:shd w:val="clear" w:color="auto" w:fill="EEEEEE"/>
            <w:vAlign w:val="center"/>
            <w:hideMark/>
          </w:tcPr>
          <w:p w:rsidR="002A5595" w:rsidRPr="00F00476" w:rsidRDefault="002A5595">
            <w:pPr>
              <w:rPr>
                <w:rFonts w:ascii="Arial" w:hAnsi="Arial" w:cs="Arial"/>
                <w:b/>
                <w:bCs/>
                <w:color w:val="000000"/>
                <w:sz w:val="20"/>
                <w:szCs w:val="20"/>
              </w:rPr>
            </w:pPr>
          </w:p>
        </w:tc>
      </w:tr>
      <w:tr w:rsidR="002A5595" w:rsidTr="002A5595">
        <w:trPr>
          <w:tblCellSpacing w:w="0" w:type="dxa"/>
          <w:jc w:val="center"/>
        </w:trPr>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413E91">
              <w:rPr>
                <w:rFonts w:ascii="Arial" w:hAnsi="Arial" w:cs="Arial"/>
                <w:sz w:val="20"/>
                <w:szCs w:val="20"/>
              </w:rPr>
              <w:t>HB 0147</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b/>
                <w:bCs/>
                <w:sz w:val="20"/>
                <w:szCs w:val="20"/>
              </w:rPr>
            </w:pPr>
            <w:r w:rsidRPr="00F00476">
              <w:rPr>
                <w:rFonts w:ascii="Arial" w:hAnsi="Arial" w:cs="Arial"/>
                <w:b/>
                <w:bCs/>
                <w:sz w:val="20"/>
                <w:szCs w:val="20"/>
              </w:rPr>
              <w:t>Relating to Concrete Masonry Education</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413E91">
              <w:rPr>
                <w:rFonts w:ascii="Arial" w:hAnsi="Arial" w:cs="Arial"/>
                <w:sz w:val="20"/>
                <w:szCs w:val="20"/>
              </w:rPr>
              <w:t>Caldwell</w:t>
            </w:r>
            <w:r w:rsidRPr="00F00476">
              <w:rPr>
                <w:rFonts w:ascii="Arial" w:hAnsi="Arial" w:cs="Arial"/>
                <w:sz w:val="20"/>
                <w:szCs w:val="20"/>
              </w:rPr>
              <w:t xml:space="preserve"> </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F00476">
              <w:rPr>
                <w:rFonts w:ascii="Arial" w:hAnsi="Arial" w:cs="Arial"/>
                <w:sz w:val="20"/>
                <w:szCs w:val="20"/>
              </w:rPr>
              <w:t>11/05/13</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jc w:val="cente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jc w:val="center"/>
              <w:rPr>
                <w:rFonts w:ascii="Arial" w:hAnsi="Arial" w:cs="Arial"/>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w:t>
            </w:r>
            <w:r w:rsidRPr="00F00476">
              <w:rPr>
                <w:rFonts w:ascii="Arial" w:hAnsi="Arial" w:cs="Arial"/>
                <w:b/>
                <w:bCs/>
                <w:sz w:val="20"/>
                <w:szCs w:val="20"/>
              </w:rPr>
              <w:t>S:</w:t>
            </w:r>
            <w:r w:rsidRPr="00F00476">
              <w:rPr>
                <w:rFonts w:ascii="Arial" w:hAnsi="Arial" w:cs="Arial"/>
                <w:sz w:val="20"/>
                <w:szCs w:val="20"/>
              </w:rPr>
              <w:t xml:space="preserve"> </w:t>
            </w:r>
            <w:r w:rsidRPr="00413E91">
              <w:rPr>
                <w:rFonts w:ascii="Arial" w:hAnsi="Arial" w:cs="Arial"/>
                <w:sz w:val="20"/>
                <w:szCs w:val="20"/>
              </w:rPr>
              <w:t>0286</w:t>
            </w:r>
            <w:r w:rsidRPr="00F00476">
              <w:rPr>
                <w:rFonts w:ascii="Arial" w:hAnsi="Arial" w:cs="Arial"/>
                <w:sz w:val="20"/>
                <w:szCs w:val="20"/>
              </w:rPr>
              <w:t xml:space="preserve"> )</w:t>
            </w:r>
          </w:p>
        </w:tc>
        <w:tc>
          <w:tcPr>
            <w:tcW w:w="0" w:type="auto"/>
            <w:gridSpan w:val="6"/>
            <w:vAlign w:val="center"/>
            <w:hideMark/>
          </w:tcPr>
          <w:p w:rsidR="002A5595" w:rsidRPr="00F00476" w:rsidRDefault="002A5595">
            <w:pPr>
              <w:rPr>
                <w:rFonts w:ascii="Arial" w:hAnsi="Arial" w:cs="Arial"/>
                <w:sz w:val="20"/>
                <w:szCs w:val="20"/>
              </w:rPr>
            </w:pPr>
            <w:r w:rsidRPr="00F00476">
              <w:rPr>
                <w:rFonts w:ascii="Arial" w:hAnsi="Arial" w:cs="Arial"/>
                <w:sz w:val="20"/>
                <w:szCs w:val="20"/>
              </w:rPr>
              <w:t>Concrete Masonry Education: Designates act as "Concrete Masonry Education Act; creates Florida Concrete Masonry Education Council, Inc.; provides powers &amp; duties of council; provides for appointment &amp; terms of council's governing board; authorizes council to accept grants, donations, contributions, &amp; gifts; authorizes council to make payments to other organizations; provides for collection of voluntary assessment on concrete masonry units; requires manufacturers who elect to pay assessment to commit to paying assessment for specified period; requires council to adopt bylaws. Effective Date: July 1, 2014</w:t>
            </w:r>
          </w:p>
        </w:tc>
        <w:tc>
          <w:tcPr>
            <w:tcW w:w="0" w:type="auto"/>
            <w:vAlign w:val="center"/>
            <w:hideMark/>
          </w:tcPr>
          <w:p w:rsidR="002A5595" w:rsidRPr="00F00476" w:rsidRDefault="002A5595">
            <w:pPr>
              <w:rPr>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779"/>
              <w:gridCol w:w="1201"/>
            </w:tblGrid>
            <w:tr w:rsidR="002A5595" w:rsidRPr="00F00476">
              <w:trPr>
                <w:tblCellSpacing w:w="0" w:type="dxa"/>
              </w:trPr>
              <w:tc>
                <w:tcPr>
                  <w:tcW w:w="0" w:type="auto"/>
                  <w:hideMark/>
                </w:tcPr>
                <w:p w:rsidR="002A5595" w:rsidRPr="00F00476" w:rsidRDefault="002A5595">
                  <w:pPr>
                    <w:rPr>
                      <w:rFonts w:ascii="Arial" w:hAnsi="Arial" w:cs="Arial"/>
                      <w:sz w:val="20"/>
                      <w:szCs w:val="20"/>
                    </w:rPr>
                  </w:pPr>
                  <w:r w:rsidRPr="00F00476">
                    <w:rPr>
                      <w:rFonts w:ascii="Arial" w:hAnsi="Arial" w:cs="Arial"/>
                      <w:sz w:val="20"/>
                      <w:szCs w:val="20"/>
                    </w:rPr>
                    <w:t xml:space="preserve">10/08/13 </w:t>
                  </w:r>
                </w:p>
              </w:tc>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HOUSE Filed</w:t>
                  </w:r>
                </w:p>
              </w:tc>
            </w:tr>
          </w:tbl>
          <w:p w:rsidR="002A5595" w:rsidRPr="00F00476" w:rsidRDefault="002A5595">
            <w:pPr>
              <w:rPr>
                <w:rFonts w:ascii="Arial" w:hAnsi="Arial" w:cs="Arial"/>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779"/>
              <w:gridCol w:w="7678"/>
            </w:tblGrid>
            <w:tr w:rsidR="002A5595" w:rsidRPr="00F00476">
              <w:trPr>
                <w:tblCellSpacing w:w="0" w:type="dxa"/>
              </w:trPr>
              <w:tc>
                <w:tcPr>
                  <w:tcW w:w="0" w:type="auto"/>
                  <w:hideMark/>
                </w:tcPr>
                <w:p w:rsidR="002A5595" w:rsidRPr="00F00476" w:rsidRDefault="002A5595">
                  <w:pPr>
                    <w:rPr>
                      <w:rFonts w:ascii="Arial" w:hAnsi="Arial" w:cs="Arial"/>
                      <w:sz w:val="20"/>
                      <w:szCs w:val="20"/>
                    </w:rPr>
                  </w:pPr>
                  <w:r w:rsidRPr="00F00476">
                    <w:rPr>
                      <w:rFonts w:ascii="Arial" w:hAnsi="Arial" w:cs="Arial"/>
                      <w:sz w:val="20"/>
                      <w:szCs w:val="20"/>
                    </w:rPr>
                    <w:t xml:space="preserve">11/05/13 </w:t>
                  </w:r>
                </w:p>
              </w:tc>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 xml:space="preserve">HOUSE Referred to Higher Education &amp; Workforce Subcommittee; Government Operations Subcommittee; Education Appropriations Subcommittee; Education Committee </w:t>
                  </w:r>
                </w:p>
              </w:tc>
            </w:tr>
          </w:tbl>
          <w:p w:rsidR="002A5595" w:rsidRPr="00F00476" w:rsidRDefault="002A5595">
            <w:pPr>
              <w:rPr>
                <w:rFonts w:ascii="Arial" w:hAnsi="Arial" w:cs="Arial"/>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779"/>
              <w:gridCol w:w="5458"/>
            </w:tblGrid>
            <w:tr w:rsidR="002A5595" w:rsidRPr="00F00476">
              <w:trPr>
                <w:tblCellSpacing w:w="0" w:type="dxa"/>
              </w:trPr>
              <w:tc>
                <w:tcPr>
                  <w:tcW w:w="0" w:type="auto"/>
                  <w:hideMark/>
                </w:tcPr>
                <w:p w:rsidR="002A5595" w:rsidRPr="00F00476" w:rsidRDefault="002A5595">
                  <w:pPr>
                    <w:rPr>
                      <w:rFonts w:ascii="Arial" w:hAnsi="Arial" w:cs="Arial"/>
                      <w:sz w:val="20"/>
                      <w:szCs w:val="20"/>
                    </w:rPr>
                  </w:pPr>
                  <w:r w:rsidRPr="00F00476">
                    <w:rPr>
                      <w:rFonts w:ascii="Arial" w:hAnsi="Arial" w:cs="Arial"/>
                      <w:sz w:val="20"/>
                      <w:szCs w:val="20"/>
                    </w:rPr>
                    <w:t xml:space="preserve">11/05/13 </w:t>
                  </w:r>
                </w:p>
              </w:tc>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HOUSE Now in Higher Education &amp; Workforce Subcommittee</w:t>
                  </w:r>
                </w:p>
              </w:tc>
            </w:tr>
          </w:tbl>
          <w:p w:rsidR="002A5595" w:rsidRPr="00F00476" w:rsidRDefault="002A5595">
            <w:pPr>
              <w:rPr>
                <w:rFonts w:ascii="Arial" w:hAnsi="Arial" w:cs="Arial"/>
                <w:sz w:val="20"/>
                <w:szCs w:val="20"/>
              </w:rPr>
            </w:pPr>
          </w:p>
        </w:tc>
      </w:tr>
      <w:tr w:rsidR="002A5595" w:rsidTr="002A5595">
        <w:trPr>
          <w:tblCellSpacing w:w="0" w:type="dxa"/>
          <w:jc w:val="center"/>
        </w:trPr>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413E91">
              <w:rPr>
                <w:rFonts w:ascii="Arial" w:hAnsi="Arial" w:cs="Arial"/>
                <w:sz w:val="20"/>
                <w:szCs w:val="20"/>
              </w:rPr>
              <w:t>SB 0154</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b/>
                <w:bCs/>
                <w:sz w:val="20"/>
                <w:szCs w:val="20"/>
              </w:rPr>
            </w:pPr>
            <w:r w:rsidRPr="00F00476">
              <w:rPr>
                <w:rFonts w:ascii="Arial" w:hAnsi="Arial" w:cs="Arial"/>
                <w:b/>
                <w:bCs/>
                <w:sz w:val="20"/>
                <w:szCs w:val="20"/>
              </w:rPr>
              <w:t>Relating to Electrical Contracting</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413E91">
              <w:rPr>
                <w:rFonts w:ascii="Arial" w:hAnsi="Arial" w:cs="Arial"/>
                <w:sz w:val="20"/>
                <w:szCs w:val="20"/>
              </w:rPr>
              <w:t>Soto</w:t>
            </w:r>
            <w:r w:rsidRPr="00F00476">
              <w:rPr>
                <w:rFonts w:ascii="Arial" w:hAnsi="Arial" w:cs="Arial"/>
                <w:sz w:val="20"/>
                <w:szCs w:val="20"/>
              </w:rPr>
              <w:t xml:space="preserve"> </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F00476">
              <w:rPr>
                <w:rFonts w:ascii="Arial" w:hAnsi="Arial" w:cs="Arial"/>
                <w:sz w:val="20"/>
                <w:szCs w:val="20"/>
              </w:rPr>
              <w:t>09/25/13</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jc w:val="cente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jc w:val="center"/>
              <w:rPr>
                <w:rFonts w:ascii="Arial" w:hAnsi="Arial" w:cs="Arial"/>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6"/>
            <w:vAlign w:val="center"/>
            <w:hideMark/>
          </w:tcPr>
          <w:p w:rsidR="002A5595" w:rsidRPr="00F00476" w:rsidRDefault="002A5595">
            <w:pPr>
              <w:rPr>
                <w:rFonts w:ascii="Arial" w:hAnsi="Arial" w:cs="Arial"/>
                <w:sz w:val="20"/>
                <w:szCs w:val="20"/>
              </w:rPr>
            </w:pPr>
            <w:r w:rsidRPr="00F00476">
              <w:rPr>
                <w:rFonts w:ascii="Arial" w:hAnsi="Arial" w:cs="Arial"/>
                <w:sz w:val="20"/>
                <w:szCs w:val="20"/>
              </w:rPr>
              <w:t>Electrical Contracting; Authorizing a municipality or county to require that one electrical journeyman who possesses a certificate of competency be present on certain industrial or commercial construction sites, etc. Effective Date: July 1, 2014</w:t>
            </w:r>
          </w:p>
        </w:tc>
        <w:tc>
          <w:tcPr>
            <w:tcW w:w="0" w:type="auto"/>
            <w:vAlign w:val="center"/>
            <w:hideMark/>
          </w:tcPr>
          <w:p w:rsidR="002A5595" w:rsidRPr="00F00476" w:rsidRDefault="002A5595">
            <w:pPr>
              <w:rPr>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779"/>
              <w:gridCol w:w="1290"/>
            </w:tblGrid>
            <w:tr w:rsidR="002A5595" w:rsidRPr="00F00476">
              <w:trPr>
                <w:tblCellSpacing w:w="0" w:type="dxa"/>
              </w:trPr>
              <w:tc>
                <w:tcPr>
                  <w:tcW w:w="0" w:type="auto"/>
                  <w:hideMark/>
                </w:tcPr>
                <w:p w:rsidR="002A5595" w:rsidRPr="00F00476" w:rsidRDefault="002A5595">
                  <w:pPr>
                    <w:rPr>
                      <w:rFonts w:ascii="Arial" w:hAnsi="Arial" w:cs="Arial"/>
                      <w:sz w:val="20"/>
                      <w:szCs w:val="20"/>
                    </w:rPr>
                  </w:pPr>
                  <w:r w:rsidRPr="00F00476">
                    <w:rPr>
                      <w:rFonts w:ascii="Arial" w:hAnsi="Arial" w:cs="Arial"/>
                      <w:sz w:val="20"/>
                      <w:szCs w:val="20"/>
                    </w:rPr>
                    <w:t xml:space="preserve">09/12/13 </w:t>
                  </w:r>
                </w:p>
              </w:tc>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SENATE Filed</w:t>
                  </w:r>
                </w:p>
              </w:tc>
            </w:tr>
          </w:tbl>
          <w:p w:rsidR="002A5595" w:rsidRPr="00F00476" w:rsidRDefault="002A5595">
            <w:pPr>
              <w:rPr>
                <w:rFonts w:ascii="Arial" w:hAnsi="Arial" w:cs="Arial"/>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779"/>
              <w:gridCol w:w="7678"/>
            </w:tblGrid>
            <w:tr w:rsidR="002A5595" w:rsidRPr="00F00476">
              <w:trPr>
                <w:tblCellSpacing w:w="0" w:type="dxa"/>
              </w:trPr>
              <w:tc>
                <w:tcPr>
                  <w:tcW w:w="0" w:type="auto"/>
                  <w:hideMark/>
                </w:tcPr>
                <w:p w:rsidR="002A5595" w:rsidRPr="00F00476" w:rsidRDefault="002A5595">
                  <w:pPr>
                    <w:rPr>
                      <w:rFonts w:ascii="Arial" w:hAnsi="Arial" w:cs="Arial"/>
                      <w:sz w:val="20"/>
                      <w:szCs w:val="20"/>
                    </w:rPr>
                  </w:pPr>
                  <w:r w:rsidRPr="00F00476">
                    <w:rPr>
                      <w:rFonts w:ascii="Arial" w:hAnsi="Arial" w:cs="Arial"/>
                      <w:sz w:val="20"/>
                      <w:szCs w:val="20"/>
                    </w:rPr>
                    <w:t xml:space="preserve">09/25/13 </w:t>
                  </w:r>
                </w:p>
              </w:tc>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SENATE Referred to Regulated Industries; Commerce and Tourism; Community Affairs</w:t>
                  </w:r>
                </w:p>
              </w:tc>
            </w:tr>
          </w:tbl>
          <w:p w:rsidR="002A5595" w:rsidRPr="00F00476" w:rsidRDefault="002A5595">
            <w:pPr>
              <w:rPr>
                <w:rFonts w:ascii="Arial" w:hAnsi="Arial" w:cs="Arial"/>
                <w:sz w:val="20"/>
                <w:szCs w:val="20"/>
              </w:rPr>
            </w:pPr>
          </w:p>
        </w:tc>
      </w:tr>
      <w:tr w:rsidR="002A5595" w:rsidTr="002A5595">
        <w:trPr>
          <w:tblCellSpacing w:w="0" w:type="dxa"/>
          <w:jc w:val="center"/>
        </w:trPr>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413E91">
              <w:rPr>
                <w:rFonts w:ascii="Arial" w:hAnsi="Arial" w:cs="Arial"/>
                <w:sz w:val="20"/>
                <w:szCs w:val="20"/>
              </w:rPr>
              <w:t>HB 0155</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b/>
                <w:bCs/>
                <w:sz w:val="20"/>
                <w:szCs w:val="20"/>
              </w:rPr>
            </w:pPr>
            <w:r w:rsidRPr="00F00476">
              <w:rPr>
                <w:rFonts w:ascii="Arial" w:hAnsi="Arial" w:cs="Arial"/>
                <w:b/>
                <w:bCs/>
                <w:sz w:val="20"/>
                <w:szCs w:val="20"/>
              </w:rPr>
              <w:t>Relating to Defense Contracting</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413E91">
              <w:rPr>
                <w:rFonts w:ascii="Arial" w:hAnsi="Arial" w:cs="Arial"/>
                <w:sz w:val="20"/>
                <w:szCs w:val="20"/>
              </w:rPr>
              <w:t>Smith (J)</w:t>
            </w:r>
            <w:r w:rsidRPr="00F00476">
              <w:rPr>
                <w:rFonts w:ascii="Arial" w:hAnsi="Arial" w:cs="Arial"/>
                <w:sz w:val="20"/>
                <w:szCs w:val="20"/>
              </w:rPr>
              <w:t xml:space="preserve"> </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F00476">
              <w:rPr>
                <w:rFonts w:ascii="Arial" w:hAnsi="Arial" w:cs="Arial"/>
                <w:sz w:val="20"/>
                <w:szCs w:val="20"/>
              </w:rPr>
              <w:t>11/05/13</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jc w:val="cente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jc w:val="center"/>
              <w:rPr>
                <w:rFonts w:ascii="Arial" w:hAnsi="Arial" w:cs="Arial"/>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6"/>
            <w:vAlign w:val="center"/>
            <w:hideMark/>
          </w:tcPr>
          <w:p w:rsidR="002A5595" w:rsidRPr="00F00476" w:rsidRDefault="002A5595">
            <w:pPr>
              <w:rPr>
                <w:rFonts w:ascii="Arial" w:hAnsi="Arial" w:cs="Arial"/>
                <w:sz w:val="20"/>
                <w:szCs w:val="20"/>
              </w:rPr>
            </w:pPr>
            <w:r w:rsidRPr="00F00476">
              <w:rPr>
                <w:rFonts w:ascii="Arial" w:hAnsi="Arial" w:cs="Arial"/>
                <w:sz w:val="20"/>
                <w:szCs w:val="20"/>
              </w:rPr>
              <w:t>Defense Contracting: Provides that certain prime contractors may apply to DEO to certify that such contractors may reduce their computation of adjusted federal income by certain amount when awarded prime contract; provides requirements to apply for reduction in computation of income; provides that prime contractor must apply separately for each qualified subcontract award; provides guidelines for DEO to certify award. Effective Date: July 1, 2014</w:t>
            </w:r>
          </w:p>
        </w:tc>
        <w:tc>
          <w:tcPr>
            <w:tcW w:w="0" w:type="auto"/>
            <w:vAlign w:val="center"/>
            <w:hideMark/>
          </w:tcPr>
          <w:p w:rsidR="002A5595" w:rsidRPr="00F00476" w:rsidRDefault="002A5595">
            <w:pPr>
              <w:rPr>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779"/>
              <w:gridCol w:w="1201"/>
            </w:tblGrid>
            <w:tr w:rsidR="002A5595" w:rsidRPr="00F00476">
              <w:trPr>
                <w:tblCellSpacing w:w="0" w:type="dxa"/>
              </w:trPr>
              <w:tc>
                <w:tcPr>
                  <w:tcW w:w="0" w:type="auto"/>
                  <w:hideMark/>
                </w:tcPr>
                <w:p w:rsidR="002A5595" w:rsidRPr="00F00476" w:rsidRDefault="002A5595">
                  <w:pPr>
                    <w:rPr>
                      <w:rFonts w:ascii="Arial" w:hAnsi="Arial" w:cs="Arial"/>
                      <w:sz w:val="20"/>
                      <w:szCs w:val="20"/>
                    </w:rPr>
                  </w:pPr>
                  <w:r w:rsidRPr="00F00476">
                    <w:rPr>
                      <w:rFonts w:ascii="Arial" w:hAnsi="Arial" w:cs="Arial"/>
                      <w:sz w:val="20"/>
                      <w:szCs w:val="20"/>
                    </w:rPr>
                    <w:t xml:space="preserve">10/09/13 </w:t>
                  </w:r>
                </w:p>
              </w:tc>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HOUSE Filed</w:t>
                  </w:r>
                </w:p>
              </w:tc>
            </w:tr>
          </w:tbl>
          <w:p w:rsidR="002A5595" w:rsidRPr="00F00476" w:rsidRDefault="002A5595">
            <w:pPr>
              <w:rPr>
                <w:rFonts w:ascii="Arial" w:hAnsi="Arial" w:cs="Arial"/>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779"/>
              <w:gridCol w:w="7678"/>
            </w:tblGrid>
            <w:tr w:rsidR="002A5595" w:rsidRPr="00F00476">
              <w:trPr>
                <w:tblCellSpacing w:w="0" w:type="dxa"/>
              </w:trPr>
              <w:tc>
                <w:tcPr>
                  <w:tcW w:w="0" w:type="auto"/>
                  <w:hideMark/>
                </w:tcPr>
                <w:p w:rsidR="002A5595" w:rsidRPr="00F00476" w:rsidRDefault="002A5595">
                  <w:pPr>
                    <w:rPr>
                      <w:rFonts w:ascii="Arial" w:hAnsi="Arial" w:cs="Arial"/>
                      <w:sz w:val="20"/>
                      <w:szCs w:val="20"/>
                    </w:rPr>
                  </w:pPr>
                  <w:r w:rsidRPr="00F00476">
                    <w:rPr>
                      <w:rFonts w:ascii="Arial" w:hAnsi="Arial" w:cs="Arial"/>
                      <w:sz w:val="20"/>
                      <w:szCs w:val="20"/>
                    </w:rPr>
                    <w:t xml:space="preserve">11/05/13 </w:t>
                  </w:r>
                </w:p>
              </w:tc>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 xml:space="preserve">HOUSE Referred to Economic Development &amp; Tourism Subcommittee; Finance &amp; Tax Subcommittee; Economic Affairs Committee </w:t>
                  </w:r>
                </w:p>
              </w:tc>
            </w:tr>
          </w:tbl>
          <w:p w:rsidR="002A5595" w:rsidRPr="00F00476" w:rsidRDefault="002A5595">
            <w:pPr>
              <w:rPr>
                <w:rFonts w:ascii="Arial" w:hAnsi="Arial" w:cs="Arial"/>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779"/>
              <w:gridCol w:w="5847"/>
            </w:tblGrid>
            <w:tr w:rsidR="002A5595" w:rsidRPr="00F00476">
              <w:trPr>
                <w:tblCellSpacing w:w="0" w:type="dxa"/>
              </w:trPr>
              <w:tc>
                <w:tcPr>
                  <w:tcW w:w="0" w:type="auto"/>
                  <w:hideMark/>
                </w:tcPr>
                <w:p w:rsidR="002A5595" w:rsidRPr="00F00476" w:rsidRDefault="002A5595">
                  <w:pPr>
                    <w:rPr>
                      <w:rFonts w:ascii="Arial" w:hAnsi="Arial" w:cs="Arial"/>
                      <w:sz w:val="20"/>
                      <w:szCs w:val="20"/>
                    </w:rPr>
                  </w:pPr>
                  <w:r w:rsidRPr="00F00476">
                    <w:rPr>
                      <w:rFonts w:ascii="Arial" w:hAnsi="Arial" w:cs="Arial"/>
                      <w:sz w:val="20"/>
                      <w:szCs w:val="20"/>
                    </w:rPr>
                    <w:t xml:space="preserve">11/05/13 </w:t>
                  </w:r>
                </w:p>
              </w:tc>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HOUSE Now in Economic Development &amp; Tourism Subcommittee</w:t>
                  </w:r>
                </w:p>
              </w:tc>
            </w:tr>
          </w:tbl>
          <w:p w:rsidR="002A5595" w:rsidRPr="00F00476" w:rsidRDefault="002A5595">
            <w:pPr>
              <w:rPr>
                <w:rFonts w:ascii="Arial" w:hAnsi="Arial" w:cs="Arial"/>
                <w:sz w:val="20"/>
                <w:szCs w:val="20"/>
              </w:rPr>
            </w:pPr>
          </w:p>
        </w:tc>
      </w:tr>
      <w:tr w:rsidR="002A5595" w:rsidTr="002A5595">
        <w:trPr>
          <w:tblCellSpacing w:w="0" w:type="dxa"/>
          <w:jc w:val="center"/>
        </w:trPr>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413E91">
              <w:rPr>
                <w:rFonts w:ascii="Arial" w:hAnsi="Arial" w:cs="Arial"/>
                <w:sz w:val="20"/>
                <w:szCs w:val="20"/>
              </w:rPr>
              <w:t>HB 0197</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b/>
                <w:bCs/>
                <w:sz w:val="20"/>
                <w:szCs w:val="20"/>
              </w:rPr>
            </w:pPr>
            <w:r w:rsidRPr="00F00476">
              <w:rPr>
                <w:rFonts w:ascii="Arial" w:hAnsi="Arial" w:cs="Arial"/>
                <w:b/>
                <w:bCs/>
                <w:sz w:val="20"/>
                <w:szCs w:val="20"/>
              </w:rPr>
              <w:t>Relating to Qualified Portable Consumer Fuel Containers</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413E91">
              <w:rPr>
                <w:rFonts w:ascii="Arial" w:hAnsi="Arial" w:cs="Arial"/>
                <w:sz w:val="20"/>
                <w:szCs w:val="20"/>
              </w:rPr>
              <w:t>Stone</w:t>
            </w:r>
            <w:r w:rsidRPr="00F00476">
              <w:rPr>
                <w:rFonts w:ascii="Arial" w:hAnsi="Arial" w:cs="Arial"/>
                <w:sz w:val="20"/>
                <w:szCs w:val="20"/>
              </w:rPr>
              <w:t xml:space="preserve"> </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F00476">
              <w:rPr>
                <w:rFonts w:ascii="Arial" w:hAnsi="Arial" w:cs="Arial"/>
                <w:sz w:val="20"/>
                <w:szCs w:val="20"/>
              </w:rPr>
              <w:t>11/22/13</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jc w:val="cente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jc w:val="center"/>
              <w:rPr>
                <w:rFonts w:ascii="Arial" w:hAnsi="Arial" w:cs="Arial"/>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6"/>
            <w:vAlign w:val="center"/>
            <w:hideMark/>
          </w:tcPr>
          <w:p w:rsidR="002A5595" w:rsidRPr="00F00476" w:rsidRDefault="002A5595">
            <w:pPr>
              <w:rPr>
                <w:rFonts w:ascii="Arial" w:hAnsi="Arial" w:cs="Arial"/>
                <w:sz w:val="20"/>
                <w:szCs w:val="20"/>
              </w:rPr>
            </w:pPr>
            <w:r w:rsidRPr="00F00476">
              <w:rPr>
                <w:rFonts w:ascii="Arial" w:hAnsi="Arial" w:cs="Arial"/>
                <w:sz w:val="20"/>
                <w:szCs w:val="20"/>
              </w:rPr>
              <w:t>Qualified Portable Consumer Fuel Containers: Provides that manufacturers, sellers, &amp; suppliers of qualified portable consumer fuel containers are not liable for injury, death, or loss, subject to specified actions, &amp; not responsible for other relief relating to misuse of qualified portable consumer fuel containers; provides exceptions; provides for award of attorney fees in certain circumstances. Effective Date: July 1, 2014</w:t>
            </w:r>
          </w:p>
        </w:tc>
        <w:tc>
          <w:tcPr>
            <w:tcW w:w="0" w:type="auto"/>
            <w:vAlign w:val="center"/>
            <w:hideMark/>
          </w:tcPr>
          <w:p w:rsidR="002A5595" w:rsidRPr="00F00476" w:rsidRDefault="002A5595">
            <w:pPr>
              <w:rPr>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779"/>
              <w:gridCol w:w="1201"/>
            </w:tblGrid>
            <w:tr w:rsidR="002A5595" w:rsidRPr="00F00476">
              <w:trPr>
                <w:tblCellSpacing w:w="0" w:type="dxa"/>
              </w:trPr>
              <w:tc>
                <w:tcPr>
                  <w:tcW w:w="0" w:type="auto"/>
                  <w:hideMark/>
                </w:tcPr>
                <w:p w:rsidR="002A5595" w:rsidRPr="00F00476" w:rsidRDefault="002A5595">
                  <w:pPr>
                    <w:rPr>
                      <w:rFonts w:ascii="Arial" w:hAnsi="Arial" w:cs="Arial"/>
                      <w:sz w:val="20"/>
                      <w:szCs w:val="20"/>
                    </w:rPr>
                  </w:pPr>
                  <w:r w:rsidRPr="00F00476">
                    <w:rPr>
                      <w:rFonts w:ascii="Arial" w:hAnsi="Arial" w:cs="Arial"/>
                      <w:sz w:val="20"/>
                      <w:szCs w:val="20"/>
                    </w:rPr>
                    <w:t xml:space="preserve">10/21/13 </w:t>
                  </w:r>
                </w:p>
              </w:tc>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HOUSE Filed</w:t>
                  </w:r>
                </w:p>
              </w:tc>
            </w:tr>
          </w:tbl>
          <w:p w:rsidR="002A5595" w:rsidRPr="00F00476" w:rsidRDefault="002A5595">
            <w:pPr>
              <w:rPr>
                <w:rFonts w:ascii="Arial" w:hAnsi="Arial" w:cs="Arial"/>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779"/>
              <w:gridCol w:w="7678"/>
            </w:tblGrid>
            <w:tr w:rsidR="002A5595" w:rsidRPr="00F00476">
              <w:trPr>
                <w:tblCellSpacing w:w="0" w:type="dxa"/>
              </w:trPr>
              <w:tc>
                <w:tcPr>
                  <w:tcW w:w="0" w:type="auto"/>
                  <w:hideMark/>
                </w:tcPr>
                <w:p w:rsidR="002A5595" w:rsidRPr="00F00476" w:rsidRDefault="002A5595">
                  <w:pPr>
                    <w:rPr>
                      <w:rFonts w:ascii="Arial" w:hAnsi="Arial" w:cs="Arial"/>
                      <w:sz w:val="20"/>
                      <w:szCs w:val="20"/>
                    </w:rPr>
                  </w:pPr>
                  <w:r w:rsidRPr="00F00476">
                    <w:rPr>
                      <w:rFonts w:ascii="Arial" w:hAnsi="Arial" w:cs="Arial"/>
                      <w:sz w:val="20"/>
                      <w:szCs w:val="20"/>
                    </w:rPr>
                    <w:t xml:space="preserve">11/22/13 </w:t>
                  </w:r>
                </w:p>
              </w:tc>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HOUSE Referred to Civil Justice Subcommittee; Business &amp; Professional Regulation Subcommittee; Judiciary Committee</w:t>
                  </w:r>
                </w:p>
              </w:tc>
            </w:tr>
          </w:tbl>
          <w:p w:rsidR="002A5595" w:rsidRPr="00F00476" w:rsidRDefault="002A5595">
            <w:pPr>
              <w:rPr>
                <w:rFonts w:ascii="Arial" w:hAnsi="Arial" w:cs="Arial"/>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779"/>
              <w:gridCol w:w="3824"/>
            </w:tblGrid>
            <w:tr w:rsidR="002A5595" w:rsidRPr="00F00476">
              <w:trPr>
                <w:tblCellSpacing w:w="0" w:type="dxa"/>
              </w:trPr>
              <w:tc>
                <w:tcPr>
                  <w:tcW w:w="0" w:type="auto"/>
                  <w:hideMark/>
                </w:tcPr>
                <w:p w:rsidR="002A5595" w:rsidRPr="00F00476" w:rsidRDefault="002A5595">
                  <w:pPr>
                    <w:rPr>
                      <w:rFonts w:ascii="Arial" w:hAnsi="Arial" w:cs="Arial"/>
                      <w:sz w:val="20"/>
                      <w:szCs w:val="20"/>
                    </w:rPr>
                  </w:pPr>
                  <w:r w:rsidRPr="00F00476">
                    <w:rPr>
                      <w:rFonts w:ascii="Arial" w:hAnsi="Arial" w:cs="Arial"/>
                      <w:sz w:val="20"/>
                      <w:szCs w:val="20"/>
                    </w:rPr>
                    <w:t xml:space="preserve">11/22/13 </w:t>
                  </w:r>
                </w:p>
              </w:tc>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HOUSE Now in Civil Justice Subcommittee</w:t>
                  </w:r>
                </w:p>
              </w:tc>
            </w:tr>
          </w:tbl>
          <w:p w:rsidR="002A5595" w:rsidRPr="00F00476" w:rsidRDefault="002A5595">
            <w:pPr>
              <w:rPr>
                <w:rFonts w:ascii="Arial" w:hAnsi="Arial" w:cs="Arial"/>
                <w:sz w:val="20"/>
                <w:szCs w:val="20"/>
              </w:rPr>
            </w:pPr>
          </w:p>
        </w:tc>
      </w:tr>
      <w:tr w:rsidR="002A5595" w:rsidTr="002A5595">
        <w:trPr>
          <w:tblCellSpacing w:w="0" w:type="dxa"/>
          <w:jc w:val="center"/>
        </w:trPr>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413E91">
              <w:rPr>
                <w:rFonts w:ascii="Arial" w:hAnsi="Arial" w:cs="Arial"/>
                <w:sz w:val="20"/>
                <w:szCs w:val="20"/>
              </w:rPr>
              <w:t>HB 0213</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b/>
                <w:bCs/>
                <w:sz w:val="20"/>
                <w:szCs w:val="20"/>
              </w:rPr>
            </w:pPr>
            <w:r w:rsidRPr="00F00476">
              <w:rPr>
                <w:rFonts w:ascii="Arial" w:hAnsi="Arial" w:cs="Arial"/>
                <w:b/>
                <w:bCs/>
                <w:sz w:val="20"/>
                <w:szCs w:val="20"/>
              </w:rPr>
              <w:t xml:space="preserve">Relating to Underground Facility Damage Prevention &amp; Safety </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413E91">
              <w:rPr>
                <w:rFonts w:ascii="Arial" w:hAnsi="Arial" w:cs="Arial"/>
                <w:sz w:val="20"/>
                <w:szCs w:val="20"/>
              </w:rPr>
              <w:t>Santiago</w:t>
            </w:r>
            <w:r w:rsidRPr="00F00476">
              <w:rPr>
                <w:rFonts w:ascii="Arial" w:hAnsi="Arial" w:cs="Arial"/>
                <w:sz w:val="20"/>
                <w:szCs w:val="20"/>
              </w:rPr>
              <w:t xml:space="preserve"> </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F00476">
              <w:rPr>
                <w:rFonts w:ascii="Arial" w:hAnsi="Arial" w:cs="Arial"/>
                <w:sz w:val="20"/>
                <w:szCs w:val="20"/>
              </w:rPr>
              <w:t>11/22/13</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jc w:val="cente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jc w:val="center"/>
              <w:rPr>
                <w:rFonts w:ascii="Arial" w:hAnsi="Arial" w:cs="Arial"/>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w:t>
            </w:r>
            <w:r w:rsidRPr="00F00476">
              <w:rPr>
                <w:rFonts w:ascii="Arial" w:hAnsi="Arial" w:cs="Arial"/>
                <w:b/>
                <w:bCs/>
                <w:sz w:val="20"/>
                <w:szCs w:val="20"/>
              </w:rPr>
              <w:t>I:</w:t>
            </w:r>
            <w:r w:rsidRPr="00F00476">
              <w:rPr>
                <w:rFonts w:ascii="Arial" w:hAnsi="Arial" w:cs="Arial"/>
                <w:sz w:val="20"/>
                <w:szCs w:val="20"/>
              </w:rPr>
              <w:t xml:space="preserve"> </w:t>
            </w:r>
            <w:r w:rsidRPr="00413E91">
              <w:rPr>
                <w:rFonts w:ascii="Arial" w:hAnsi="Arial" w:cs="Arial"/>
                <w:sz w:val="20"/>
                <w:szCs w:val="20"/>
              </w:rPr>
              <w:t>0288</w:t>
            </w:r>
            <w:r w:rsidRPr="00F00476">
              <w:rPr>
                <w:rFonts w:ascii="Arial" w:hAnsi="Arial" w:cs="Arial"/>
                <w:sz w:val="20"/>
                <w:szCs w:val="20"/>
              </w:rPr>
              <w:t xml:space="preserve"> )</w:t>
            </w:r>
          </w:p>
        </w:tc>
        <w:tc>
          <w:tcPr>
            <w:tcW w:w="0" w:type="auto"/>
            <w:gridSpan w:val="6"/>
            <w:vAlign w:val="center"/>
            <w:hideMark/>
          </w:tcPr>
          <w:p w:rsidR="002A5595" w:rsidRPr="00F00476" w:rsidRDefault="002A5595">
            <w:pPr>
              <w:rPr>
                <w:rFonts w:ascii="Arial" w:hAnsi="Arial" w:cs="Arial"/>
                <w:sz w:val="20"/>
                <w:szCs w:val="20"/>
              </w:rPr>
            </w:pPr>
            <w:r w:rsidRPr="00F00476">
              <w:rPr>
                <w:rFonts w:ascii="Arial" w:hAnsi="Arial" w:cs="Arial"/>
                <w:sz w:val="20"/>
                <w:szCs w:val="20"/>
              </w:rPr>
              <w:t>Underground Facility Damage Prevention &amp; Safety: Revises definition of term "premark"; revises notification &amp; marking procedures for proposed excavation or demolition; creates noncriminal infraction for failure by excavator to notify member operator of planned start date &amp; time of specified excavation; deletes certain notification exemptions; revises excavators' premarking requirements; revises definition of term "high-priority subsurface installation"; authorizes member operator to deem owned or operated underground pipeline or facility high-priority subsurface installation; requires excavator to notify member operator of current &amp; accurate contact information; revises requirement to report certain infractions; authorizes settlement of incident by payment of fine. Effective Date: July 1, 2014</w:t>
            </w:r>
          </w:p>
        </w:tc>
        <w:tc>
          <w:tcPr>
            <w:tcW w:w="0" w:type="auto"/>
            <w:vAlign w:val="center"/>
            <w:hideMark/>
          </w:tcPr>
          <w:p w:rsidR="002A5595" w:rsidRPr="00F00476" w:rsidRDefault="002A5595">
            <w:pPr>
              <w:rPr>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779"/>
              <w:gridCol w:w="1201"/>
            </w:tblGrid>
            <w:tr w:rsidR="002A5595" w:rsidRPr="00F00476">
              <w:trPr>
                <w:tblCellSpacing w:w="0" w:type="dxa"/>
              </w:trPr>
              <w:tc>
                <w:tcPr>
                  <w:tcW w:w="0" w:type="auto"/>
                  <w:hideMark/>
                </w:tcPr>
                <w:p w:rsidR="002A5595" w:rsidRPr="00F00476" w:rsidRDefault="002A5595">
                  <w:pPr>
                    <w:rPr>
                      <w:rFonts w:ascii="Arial" w:hAnsi="Arial" w:cs="Arial"/>
                      <w:sz w:val="20"/>
                      <w:szCs w:val="20"/>
                    </w:rPr>
                  </w:pPr>
                  <w:r w:rsidRPr="00F00476">
                    <w:rPr>
                      <w:rFonts w:ascii="Arial" w:hAnsi="Arial" w:cs="Arial"/>
                      <w:sz w:val="20"/>
                      <w:szCs w:val="20"/>
                    </w:rPr>
                    <w:t xml:space="preserve">10/24/13 </w:t>
                  </w:r>
                </w:p>
              </w:tc>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HOUSE Filed</w:t>
                  </w:r>
                </w:p>
              </w:tc>
            </w:tr>
          </w:tbl>
          <w:p w:rsidR="002A5595" w:rsidRPr="00F00476" w:rsidRDefault="002A5595">
            <w:pPr>
              <w:rPr>
                <w:rFonts w:ascii="Arial" w:hAnsi="Arial" w:cs="Arial"/>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779"/>
              <w:gridCol w:w="7678"/>
            </w:tblGrid>
            <w:tr w:rsidR="002A5595" w:rsidRPr="00F00476">
              <w:trPr>
                <w:tblCellSpacing w:w="0" w:type="dxa"/>
              </w:trPr>
              <w:tc>
                <w:tcPr>
                  <w:tcW w:w="0" w:type="auto"/>
                  <w:hideMark/>
                </w:tcPr>
                <w:p w:rsidR="002A5595" w:rsidRPr="00F00476" w:rsidRDefault="002A5595">
                  <w:pPr>
                    <w:rPr>
                      <w:rFonts w:ascii="Arial" w:hAnsi="Arial" w:cs="Arial"/>
                      <w:sz w:val="20"/>
                      <w:szCs w:val="20"/>
                    </w:rPr>
                  </w:pPr>
                  <w:r w:rsidRPr="00F00476">
                    <w:rPr>
                      <w:rFonts w:ascii="Arial" w:hAnsi="Arial" w:cs="Arial"/>
                      <w:sz w:val="20"/>
                      <w:szCs w:val="20"/>
                    </w:rPr>
                    <w:t xml:space="preserve">11/22/13 </w:t>
                  </w:r>
                </w:p>
              </w:tc>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HOUSE Referred to Energy &amp; Utilities Subcommittee; Local &amp; Federal Affairs Committee; Regulatory Affairs Committee</w:t>
                  </w:r>
                </w:p>
              </w:tc>
            </w:tr>
          </w:tbl>
          <w:p w:rsidR="002A5595" w:rsidRPr="00F00476" w:rsidRDefault="002A5595">
            <w:pPr>
              <w:rPr>
                <w:rFonts w:ascii="Arial" w:hAnsi="Arial" w:cs="Arial"/>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779"/>
              <w:gridCol w:w="4291"/>
            </w:tblGrid>
            <w:tr w:rsidR="002A5595" w:rsidRPr="00F00476">
              <w:trPr>
                <w:tblCellSpacing w:w="0" w:type="dxa"/>
              </w:trPr>
              <w:tc>
                <w:tcPr>
                  <w:tcW w:w="0" w:type="auto"/>
                  <w:hideMark/>
                </w:tcPr>
                <w:p w:rsidR="002A5595" w:rsidRPr="00F00476" w:rsidRDefault="002A5595">
                  <w:pPr>
                    <w:rPr>
                      <w:rFonts w:ascii="Arial" w:hAnsi="Arial" w:cs="Arial"/>
                      <w:sz w:val="20"/>
                      <w:szCs w:val="20"/>
                    </w:rPr>
                  </w:pPr>
                  <w:r w:rsidRPr="00F00476">
                    <w:rPr>
                      <w:rFonts w:ascii="Arial" w:hAnsi="Arial" w:cs="Arial"/>
                      <w:sz w:val="20"/>
                      <w:szCs w:val="20"/>
                    </w:rPr>
                    <w:t xml:space="preserve">11/22/13 </w:t>
                  </w:r>
                </w:p>
              </w:tc>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HOUSE Now in Energy &amp; Utilities Subcommittee</w:t>
                  </w:r>
                </w:p>
              </w:tc>
            </w:tr>
          </w:tbl>
          <w:p w:rsidR="002A5595" w:rsidRPr="00F00476" w:rsidRDefault="002A5595">
            <w:pPr>
              <w:rPr>
                <w:rFonts w:ascii="Arial" w:hAnsi="Arial" w:cs="Arial"/>
                <w:sz w:val="20"/>
                <w:szCs w:val="20"/>
              </w:rPr>
            </w:pPr>
          </w:p>
        </w:tc>
      </w:tr>
      <w:tr w:rsidR="002A5595" w:rsidTr="002A5595">
        <w:trPr>
          <w:tblCellSpacing w:w="0" w:type="dxa"/>
          <w:jc w:val="center"/>
        </w:trPr>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413E91">
              <w:rPr>
                <w:rFonts w:ascii="Arial" w:hAnsi="Arial" w:cs="Arial"/>
                <w:sz w:val="20"/>
                <w:szCs w:val="20"/>
              </w:rPr>
              <w:t>SB 0272</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b/>
                <w:bCs/>
                <w:sz w:val="20"/>
                <w:szCs w:val="20"/>
              </w:rPr>
            </w:pPr>
            <w:r w:rsidRPr="00F00476">
              <w:rPr>
                <w:rFonts w:ascii="Arial" w:hAnsi="Arial" w:cs="Arial"/>
                <w:b/>
                <w:bCs/>
                <w:sz w:val="20"/>
                <w:szCs w:val="20"/>
              </w:rPr>
              <w:t>Relating to Water and Wastewater Utilities</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413E91">
              <w:rPr>
                <w:rFonts w:ascii="Arial" w:hAnsi="Arial" w:cs="Arial"/>
                <w:sz w:val="20"/>
                <w:szCs w:val="20"/>
              </w:rPr>
              <w:t>Simpson</w:t>
            </w:r>
            <w:r w:rsidRPr="00F00476">
              <w:rPr>
                <w:rFonts w:ascii="Arial" w:hAnsi="Arial" w:cs="Arial"/>
                <w:sz w:val="20"/>
                <w:szCs w:val="20"/>
              </w:rPr>
              <w:t xml:space="preserve"> </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F00476">
              <w:rPr>
                <w:rFonts w:ascii="Arial" w:hAnsi="Arial" w:cs="Arial"/>
                <w:sz w:val="20"/>
                <w:szCs w:val="20"/>
              </w:rPr>
              <w:t>11/04/13</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jc w:val="cente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jc w:val="center"/>
              <w:rPr>
                <w:rFonts w:ascii="Arial" w:hAnsi="Arial" w:cs="Arial"/>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w:t>
            </w:r>
            <w:r w:rsidRPr="00F00476">
              <w:rPr>
                <w:rFonts w:ascii="Arial" w:hAnsi="Arial" w:cs="Arial"/>
                <w:b/>
                <w:bCs/>
                <w:sz w:val="20"/>
                <w:szCs w:val="20"/>
              </w:rPr>
              <w:t>C:</w:t>
            </w:r>
            <w:r w:rsidRPr="00F00476">
              <w:rPr>
                <w:rFonts w:ascii="Arial" w:hAnsi="Arial" w:cs="Arial"/>
                <w:sz w:val="20"/>
                <w:szCs w:val="20"/>
              </w:rPr>
              <w:t xml:space="preserve"> </w:t>
            </w:r>
            <w:r w:rsidRPr="00413E91">
              <w:rPr>
                <w:rFonts w:ascii="Arial" w:hAnsi="Arial" w:cs="Arial"/>
                <w:sz w:val="20"/>
                <w:szCs w:val="20"/>
              </w:rPr>
              <w:t>0229</w:t>
            </w:r>
            <w:r w:rsidRPr="00F00476">
              <w:rPr>
                <w:rFonts w:ascii="Arial" w:hAnsi="Arial" w:cs="Arial"/>
                <w:sz w:val="20"/>
                <w:szCs w:val="20"/>
              </w:rPr>
              <w:t xml:space="preserve"> </w:t>
            </w:r>
            <w:r w:rsidRPr="00413E91">
              <w:rPr>
                <w:rFonts w:ascii="Arial" w:hAnsi="Arial" w:cs="Arial"/>
                <w:sz w:val="20"/>
                <w:szCs w:val="20"/>
              </w:rPr>
              <w:t>0357</w:t>
            </w:r>
            <w:r w:rsidRPr="00F00476">
              <w:rPr>
                <w:rFonts w:ascii="Arial" w:hAnsi="Arial" w:cs="Arial"/>
                <w:sz w:val="20"/>
                <w:szCs w:val="20"/>
              </w:rPr>
              <w:t xml:space="preserve"> )</w:t>
            </w:r>
          </w:p>
        </w:tc>
        <w:tc>
          <w:tcPr>
            <w:tcW w:w="0" w:type="auto"/>
            <w:gridSpan w:val="6"/>
            <w:vAlign w:val="center"/>
            <w:hideMark/>
          </w:tcPr>
          <w:p w:rsidR="002A5595" w:rsidRPr="00F00476" w:rsidRDefault="002A5595">
            <w:pPr>
              <w:rPr>
                <w:rFonts w:ascii="Arial" w:hAnsi="Arial" w:cs="Arial"/>
                <w:sz w:val="20"/>
                <w:szCs w:val="20"/>
              </w:rPr>
            </w:pPr>
            <w:r w:rsidRPr="00F00476">
              <w:rPr>
                <w:rFonts w:ascii="Arial" w:hAnsi="Arial" w:cs="Arial"/>
                <w:sz w:val="20"/>
                <w:szCs w:val="20"/>
              </w:rPr>
              <w:t>Water and Wastewater Utilities; Limiting the rates that may be charged by a public water and wastewater utility; requiring the Public Service Commission to adjust public water or wastewater utilities rates under certain circumstances; requiring the commission to consider the value and quality of water or wastewater service provided by a utility when fixing rates; providing criteria that the commission must consider in making its determination, etc. Effective Date: July 1, 2014</w:t>
            </w:r>
          </w:p>
        </w:tc>
        <w:tc>
          <w:tcPr>
            <w:tcW w:w="0" w:type="auto"/>
            <w:vAlign w:val="center"/>
            <w:hideMark/>
          </w:tcPr>
          <w:p w:rsidR="002A5595" w:rsidRPr="00F00476" w:rsidRDefault="002A5595">
            <w:pPr>
              <w:rPr>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779"/>
              <w:gridCol w:w="1290"/>
            </w:tblGrid>
            <w:tr w:rsidR="002A5595" w:rsidRPr="00F00476">
              <w:trPr>
                <w:tblCellSpacing w:w="0" w:type="dxa"/>
              </w:trPr>
              <w:tc>
                <w:tcPr>
                  <w:tcW w:w="0" w:type="auto"/>
                  <w:hideMark/>
                </w:tcPr>
                <w:p w:rsidR="002A5595" w:rsidRPr="00F00476" w:rsidRDefault="002A5595">
                  <w:pPr>
                    <w:rPr>
                      <w:rFonts w:ascii="Arial" w:hAnsi="Arial" w:cs="Arial"/>
                      <w:sz w:val="20"/>
                      <w:szCs w:val="20"/>
                    </w:rPr>
                  </w:pPr>
                  <w:r w:rsidRPr="00F00476">
                    <w:rPr>
                      <w:rFonts w:ascii="Arial" w:hAnsi="Arial" w:cs="Arial"/>
                      <w:sz w:val="20"/>
                      <w:szCs w:val="20"/>
                    </w:rPr>
                    <w:t xml:space="preserve">10/15/13 </w:t>
                  </w:r>
                </w:p>
              </w:tc>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SENATE Filed</w:t>
                  </w:r>
                </w:p>
              </w:tc>
            </w:tr>
          </w:tbl>
          <w:p w:rsidR="002A5595" w:rsidRPr="00F00476" w:rsidRDefault="002A5595">
            <w:pPr>
              <w:rPr>
                <w:rFonts w:ascii="Arial" w:hAnsi="Arial" w:cs="Arial"/>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779"/>
              <w:gridCol w:w="7637"/>
            </w:tblGrid>
            <w:tr w:rsidR="002A5595" w:rsidRPr="00F00476">
              <w:trPr>
                <w:tblCellSpacing w:w="0" w:type="dxa"/>
              </w:trPr>
              <w:tc>
                <w:tcPr>
                  <w:tcW w:w="0" w:type="auto"/>
                  <w:hideMark/>
                </w:tcPr>
                <w:p w:rsidR="002A5595" w:rsidRPr="00F00476" w:rsidRDefault="002A5595">
                  <w:pPr>
                    <w:rPr>
                      <w:rFonts w:ascii="Arial" w:hAnsi="Arial" w:cs="Arial"/>
                      <w:sz w:val="20"/>
                      <w:szCs w:val="20"/>
                    </w:rPr>
                  </w:pPr>
                  <w:r w:rsidRPr="00F00476">
                    <w:rPr>
                      <w:rFonts w:ascii="Arial" w:hAnsi="Arial" w:cs="Arial"/>
                      <w:sz w:val="20"/>
                      <w:szCs w:val="20"/>
                    </w:rPr>
                    <w:t xml:space="preserve">11/04/13 </w:t>
                  </w:r>
                </w:p>
              </w:tc>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SENATE Referred to Communications, Energy, and Public Utilities; Community Affairs</w:t>
                  </w:r>
                </w:p>
              </w:tc>
            </w:tr>
          </w:tbl>
          <w:p w:rsidR="002A5595" w:rsidRPr="00F00476" w:rsidRDefault="002A5595">
            <w:pPr>
              <w:rPr>
                <w:rFonts w:ascii="Arial" w:hAnsi="Arial" w:cs="Arial"/>
                <w:sz w:val="20"/>
                <w:szCs w:val="20"/>
              </w:rPr>
            </w:pPr>
          </w:p>
        </w:tc>
      </w:tr>
      <w:tr w:rsidR="002A5595" w:rsidTr="002A5595">
        <w:trPr>
          <w:tblCellSpacing w:w="0" w:type="dxa"/>
          <w:jc w:val="center"/>
        </w:trPr>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413E91">
              <w:rPr>
                <w:rFonts w:ascii="Arial" w:hAnsi="Arial" w:cs="Arial"/>
                <w:sz w:val="20"/>
                <w:szCs w:val="20"/>
              </w:rPr>
              <w:t>SB 0286</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b/>
                <w:bCs/>
                <w:sz w:val="20"/>
                <w:szCs w:val="20"/>
              </w:rPr>
            </w:pPr>
            <w:r w:rsidRPr="00F00476">
              <w:rPr>
                <w:rFonts w:ascii="Arial" w:hAnsi="Arial" w:cs="Arial"/>
                <w:b/>
                <w:bCs/>
                <w:sz w:val="20"/>
                <w:szCs w:val="20"/>
              </w:rPr>
              <w:t>Relating to Concrete Masonry Education</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413E91">
              <w:rPr>
                <w:rFonts w:ascii="Arial" w:hAnsi="Arial" w:cs="Arial"/>
                <w:sz w:val="20"/>
                <w:szCs w:val="20"/>
              </w:rPr>
              <w:t>Richter</w:t>
            </w:r>
            <w:r w:rsidRPr="00F00476">
              <w:rPr>
                <w:rFonts w:ascii="Arial" w:hAnsi="Arial" w:cs="Arial"/>
                <w:sz w:val="20"/>
                <w:szCs w:val="20"/>
              </w:rPr>
              <w:t xml:space="preserve"> </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F00476">
              <w:rPr>
                <w:rFonts w:ascii="Arial" w:hAnsi="Arial" w:cs="Arial"/>
                <w:sz w:val="20"/>
                <w:szCs w:val="20"/>
              </w:rPr>
              <w:t>11/04/13</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jc w:val="cente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jc w:val="center"/>
              <w:rPr>
                <w:rFonts w:ascii="Arial" w:hAnsi="Arial" w:cs="Arial"/>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w:t>
            </w:r>
            <w:r w:rsidRPr="00F00476">
              <w:rPr>
                <w:rFonts w:ascii="Arial" w:hAnsi="Arial" w:cs="Arial"/>
                <w:b/>
                <w:bCs/>
                <w:sz w:val="20"/>
                <w:szCs w:val="20"/>
              </w:rPr>
              <w:t>S:</w:t>
            </w:r>
            <w:r w:rsidRPr="00F00476">
              <w:rPr>
                <w:rFonts w:ascii="Arial" w:hAnsi="Arial" w:cs="Arial"/>
                <w:sz w:val="20"/>
                <w:szCs w:val="20"/>
              </w:rPr>
              <w:t xml:space="preserve"> </w:t>
            </w:r>
            <w:r w:rsidRPr="00413E91">
              <w:rPr>
                <w:rFonts w:ascii="Arial" w:hAnsi="Arial" w:cs="Arial"/>
                <w:sz w:val="20"/>
                <w:szCs w:val="20"/>
              </w:rPr>
              <w:t>0147</w:t>
            </w:r>
            <w:r w:rsidRPr="00F00476">
              <w:rPr>
                <w:rFonts w:ascii="Arial" w:hAnsi="Arial" w:cs="Arial"/>
                <w:sz w:val="20"/>
                <w:szCs w:val="20"/>
              </w:rPr>
              <w:t xml:space="preserve"> )</w:t>
            </w:r>
          </w:p>
        </w:tc>
        <w:tc>
          <w:tcPr>
            <w:tcW w:w="0" w:type="auto"/>
            <w:gridSpan w:val="6"/>
            <w:vAlign w:val="center"/>
            <w:hideMark/>
          </w:tcPr>
          <w:p w:rsidR="002A5595" w:rsidRPr="00F00476" w:rsidRDefault="002A5595">
            <w:pPr>
              <w:rPr>
                <w:rFonts w:ascii="Arial" w:hAnsi="Arial" w:cs="Arial"/>
                <w:sz w:val="20"/>
                <w:szCs w:val="20"/>
              </w:rPr>
            </w:pPr>
            <w:r w:rsidRPr="00F00476">
              <w:rPr>
                <w:rFonts w:ascii="Arial" w:hAnsi="Arial" w:cs="Arial"/>
                <w:sz w:val="20"/>
                <w:szCs w:val="20"/>
              </w:rPr>
              <w:t>Concrete Masonry Education; Creating the "Concrete Masonry Education Act"; creating the Florida Concrete Masonry Education Council, Inc.; authorizing the council to accept grants, donations, contributions, and gifts under certain circumstances; providing for collection of a voluntary assessment on concrete masonry units; requiring manufacturers who elect to pay the assessment to commit to paying the assessment for a specified period, etc. Effective Date: July 1, 2014</w:t>
            </w:r>
          </w:p>
        </w:tc>
        <w:tc>
          <w:tcPr>
            <w:tcW w:w="0" w:type="auto"/>
            <w:vAlign w:val="center"/>
            <w:hideMark/>
          </w:tcPr>
          <w:p w:rsidR="002A5595" w:rsidRPr="00F00476" w:rsidRDefault="002A5595">
            <w:pPr>
              <w:rPr>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779"/>
              <w:gridCol w:w="1290"/>
            </w:tblGrid>
            <w:tr w:rsidR="002A5595" w:rsidRPr="00F00476">
              <w:trPr>
                <w:tblCellSpacing w:w="0" w:type="dxa"/>
              </w:trPr>
              <w:tc>
                <w:tcPr>
                  <w:tcW w:w="0" w:type="auto"/>
                  <w:hideMark/>
                </w:tcPr>
                <w:p w:rsidR="002A5595" w:rsidRPr="00F00476" w:rsidRDefault="002A5595">
                  <w:pPr>
                    <w:rPr>
                      <w:rFonts w:ascii="Arial" w:hAnsi="Arial" w:cs="Arial"/>
                      <w:sz w:val="20"/>
                      <w:szCs w:val="20"/>
                    </w:rPr>
                  </w:pPr>
                  <w:r w:rsidRPr="00F00476">
                    <w:rPr>
                      <w:rFonts w:ascii="Arial" w:hAnsi="Arial" w:cs="Arial"/>
                      <w:sz w:val="20"/>
                      <w:szCs w:val="20"/>
                    </w:rPr>
                    <w:t xml:space="preserve">10/16/13 </w:t>
                  </w:r>
                </w:p>
              </w:tc>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SENATE Filed</w:t>
                  </w:r>
                </w:p>
              </w:tc>
            </w:tr>
          </w:tbl>
          <w:p w:rsidR="002A5595" w:rsidRPr="00F00476" w:rsidRDefault="002A5595">
            <w:pPr>
              <w:rPr>
                <w:rFonts w:ascii="Arial" w:hAnsi="Arial" w:cs="Arial"/>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779"/>
              <w:gridCol w:w="7678"/>
            </w:tblGrid>
            <w:tr w:rsidR="002A5595" w:rsidRPr="00F00476">
              <w:trPr>
                <w:tblCellSpacing w:w="0" w:type="dxa"/>
              </w:trPr>
              <w:tc>
                <w:tcPr>
                  <w:tcW w:w="0" w:type="auto"/>
                  <w:hideMark/>
                </w:tcPr>
                <w:p w:rsidR="002A5595" w:rsidRPr="00F00476" w:rsidRDefault="002A5595">
                  <w:pPr>
                    <w:rPr>
                      <w:rFonts w:ascii="Arial" w:hAnsi="Arial" w:cs="Arial"/>
                      <w:sz w:val="20"/>
                      <w:szCs w:val="20"/>
                    </w:rPr>
                  </w:pPr>
                  <w:r w:rsidRPr="00F00476">
                    <w:rPr>
                      <w:rFonts w:ascii="Arial" w:hAnsi="Arial" w:cs="Arial"/>
                      <w:sz w:val="20"/>
                      <w:szCs w:val="20"/>
                    </w:rPr>
                    <w:t xml:space="preserve">11/04/13 </w:t>
                  </w:r>
                </w:p>
              </w:tc>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 xml:space="preserve">SENATE Referred to Community Affairs; Regulated Industries; Governmental Oversight and Accountability </w:t>
                  </w:r>
                </w:p>
              </w:tc>
            </w:tr>
          </w:tbl>
          <w:p w:rsidR="002A5595" w:rsidRPr="00F00476" w:rsidRDefault="002A5595">
            <w:pPr>
              <w:rPr>
                <w:rFonts w:ascii="Arial" w:hAnsi="Arial" w:cs="Arial"/>
                <w:sz w:val="20"/>
                <w:szCs w:val="20"/>
              </w:rPr>
            </w:pPr>
          </w:p>
        </w:tc>
      </w:tr>
      <w:tr w:rsidR="002A5595" w:rsidTr="002A5595">
        <w:trPr>
          <w:tblCellSpacing w:w="0" w:type="dxa"/>
          <w:jc w:val="center"/>
        </w:trPr>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413E91">
              <w:rPr>
                <w:rFonts w:ascii="Arial" w:hAnsi="Arial" w:cs="Arial"/>
                <w:sz w:val="20"/>
                <w:szCs w:val="20"/>
              </w:rPr>
              <w:t>SB 0288</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b/>
                <w:bCs/>
                <w:sz w:val="20"/>
                <w:szCs w:val="20"/>
              </w:rPr>
            </w:pPr>
            <w:r w:rsidRPr="00F00476">
              <w:rPr>
                <w:rFonts w:ascii="Arial" w:hAnsi="Arial" w:cs="Arial"/>
                <w:b/>
                <w:bCs/>
                <w:sz w:val="20"/>
                <w:szCs w:val="20"/>
              </w:rPr>
              <w:t>Relating to Underground Facility Damage Prevention and Safety</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413E91">
              <w:rPr>
                <w:rFonts w:ascii="Arial" w:hAnsi="Arial" w:cs="Arial"/>
                <w:sz w:val="20"/>
                <w:szCs w:val="20"/>
              </w:rPr>
              <w:t>Richter</w:t>
            </w:r>
            <w:r w:rsidRPr="00F00476">
              <w:rPr>
                <w:rFonts w:ascii="Arial" w:hAnsi="Arial" w:cs="Arial"/>
                <w:sz w:val="20"/>
                <w:szCs w:val="20"/>
              </w:rPr>
              <w:t xml:space="preserve"> </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F00476">
              <w:rPr>
                <w:rFonts w:ascii="Arial" w:hAnsi="Arial" w:cs="Arial"/>
                <w:sz w:val="20"/>
                <w:szCs w:val="20"/>
              </w:rPr>
              <w:t>11/04/13</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jc w:val="cente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jc w:val="center"/>
              <w:rPr>
                <w:rFonts w:ascii="Arial" w:hAnsi="Arial" w:cs="Arial"/>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w:t>
            </w:r>
            <w:r w:rsidRPr="00F00476">
              <w:rPr>
                <w:rFonts w:ascii="Arial" w:hAnsi="Arial" w:cs="Arial"/>
                <w:b/>
                <w:bCs/>
                <w:sz w:val="20"/>
                <w:szCs w:val="20"/>
              </w:rPr>
              <w:t>I:</w:t>
            </w:r>
            <w:r w:rsidRPr="00F00476">
              <w:rPr>
                <w:rFonts w:ascii="Arial" w:hAnsi="Arial" w:cs="Arial"/>
                <w:sz w:val="20"/>
                <w:szCs w:val="20"/>
              </w:rPr>
              <w:t xml:space="preserve"> </w:t>
            </w:r>
            <w:r w:rsidRPr="00413E91">
              <w:rPr>
                <w:rFonts w:ascii="Arial" w:hAnsi="Arial" w:cs="Arial"/>
                <w:sz w:val="20"/>
                <w:szCs w:val="20"/>
              </w:rPr>
              <w:t>0213</w:t>
            </w:r>
            <w:r w:rsidRPr="00F00476">
              <w:rPr>
                <w:rFonts w:ascii="Arial" w:hAnsi="Arial" w:cs="Arial"/>
                <w:sz w:val="20"/>
                <w:szCs w:val="20"/>
              </w:rPr>
              <w:t xml:space="preserve"> )</w:t>
            </w:r>
          </w:p>
        </w:tc>
        <w:tc>
          <w:tcPr>
            <w:tcW w:w="0" w:type="auto"/>
            <w:gridSpan w:val="6"/>
            <w:vAlign w:val="center"/>
            <w:hideMark/>
          </w:tcPr>
          <w:p w:rsidR="002A5595" w:rsidRPr="00F00476" w:rsidRDefault="002A5595">
            <w:pPr>
              <w:rPr>
                <w:rFonts w:ascii="Arial" w:hAnsi="Arial" w:cs="Arial"/>
                <w:sz w:val="20"/>
                <w:szCs w:val="20"/>
              </w:rPr>
            </w:pPr>
            <w:r w:rsidRPr="00F00476">
              <w:rPr>
                <w:rFonts w:ascii="Arial" w:hAnsi="Arial" w:cs="Arial"/>
                <w:sz w:val="20"/>
                <w:szCs w:val="20"/>
              </w:rPr>
              <w:t>Underground Facility Damage Prevention and Safety; Requiring all member operators including those with state-owned underground facilities located within the right-of-way of a state highway to be notified through the free-access notification system of a proposed excavation or demolition; creating an additional noncriminal infraction for the failure of an excavator to notify the member operator in certain circumstances; requiring an excavator to provide notice through the free-access notification system before beginning certain excavations, demolitions, or maintenance activities, etc. Effective Date: July 1, 2014</w:t>
            </w:r>
          </w:p>
        </w:tc>
        <w:tc>
          <w:tcPr>
            <w:tcW w:w="0" w:type="auto"/>
            <w:vAlign w:val="center"/>
            <w:hideMark/>
          </w:tcPr>
          <w:p w:rsidR="002A5595" w:rsidRPr="00F00476" w:rsidRDefault="002A5595">
            <w:pPr>
              <w:rPr>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779"/>
              <w:gridCol w:w="1290"/>
            </w:tblGrid>
            <w:tr w:rsidR="002A5595" w:rsidRPr="00F00476">
              <w:trPr>
                <w:tblCellSpacing w:w="0" w:type="dxa"/>
              </w:trPr>
              <w:tc>
                <w:tcPr>
                  <w:tcW w:w="0" w:type="auto"/>
                  <w:hideMark/>
                </w:tcPr>
                <w:p w:rsidR="002A5595" w:rsidRPr="00F00476" w:rsidRDefault="002A5595">
                  <w:pPr>
                    <w:rPr>
                      <w:rFonts w:ascii="Arial" w:hAnsi="Arial" w:cs="Arial"/>
                      <w:sz w:val="20"/>
                      <w:szCs w:val="20"/>
                    </w:rPr>
                  </w:pPr>
                  <w:r w:rsidRPr="00F00476">
                    <w:rPr>
                      <w:rFonts w:ascii="Arial" w:hAnsi="Arial" w:cs="Arial"/>
                      <w:sz w:val="20"/>
                      <w:szCs w:val="20"/>
                    </w:rPr>
                    <w:t xml:space="preserve">10/17/13 </w:t>
                  </w:r>
                </w:p>
              </w:tc>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SENATE Filed</w:t>
                  </w:r>
                </w:p>
              </w:tc>
            </w:tr>
          </w:tbl>
          <w:p w:rsidR="002A5595" w:rsidRPr="00F00476" w:rsidRDefault="002A5595">
            <w:pPr>
              <w:rPr>
                <w:rFonts w:ascii="Arial" w:hAnsi="Arial" w:cs="Arial"/>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779"/>
              <w:gridCol w:w="7678"/>
            </w:tblGrid>
            <w:tr w:rsidR="002A5595" w:rsidRPr="00F00476">
              <w:trPr>
                <w:tblCellSpacing w:w="0" w:type="dxa"/>
              </w:trPr>
              <w:tc>
                <w:tcPr>
                  <w:tcW w:w="0" w:type="auto"/>
                  <w:hideMark/>
                </w:tcPr>
                <w:p w:rsidR="002A5595" w:rsidRPr="00F00476" w:rsidRDefault="002A5595">
                  <w:pPr>
                    <w:rPr>
                      <w:rFonts w:ascii="Arial" w:hAnsi="Arial" w:cs="Arial"/>
                      <w:sz w:val="20"/>
                      <w:szCs w:val="20"/>
                    </w:rPr>
                  </w:pPr>
                  <w:r w:rsidRPr="00F00476">
                    <w:rPr>
                      <w:rFonts w:ascii="Arial" w:hAnsi="Arial" w:cs="Arial"/>
                      <w:sz w:val="20"/>
                      <w:szCs w:val="20"/>
                    </w:rPr>
                    <w:t xml:space="preserve">11/04/13 </w:t>
                  </w:r>
                </w:p>
              </w:tc>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SENATE Referred to Communications, Energy, and Public Utilities; Environmental Preservation and Conservation</w:t>
                  </w:r>
                </w:p>
              </w:tc>
            </w:tr>
          </w:tbl>
          <w:p w:rsidR="002A5595" w:rsidRPr="00F00476" w:rsidRDefault="002A5595">
            <w:pPr>
              <w:rPr>
                <w:rFonts w:ascii="Arial" w:hAnsi="Arial" w:cs="Arial"/>
                <w:sz w:val="20"/>
                <w:szCs w:val="20"/>
              </w:rPr>
            </w:pPr>
          </w:p>
        </w:tc>
      </w:tr>
      <w:tr w:rsidR="002A5595" w:rsidTr="002A5595">
        <w:trPr>
          <w:tblCellSpacing w:w="0" w:type="dxa"/>
          <w:jc w:val="center"/>
        </w:trPr>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413E91">
              <w:rPr>
                <w:rFonts w:ascii="Arial" w:hAnsi="Arial" w:cs="Arial"/>
                <w:sz w:val="20"/>
                <w:szCs w:val="20"/>
              </w:rPr>
              <w:t>HB 0359</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b/>
                <w:bCs/>
                <w:sz w:val="20"/>
                <w:szCs w:val="20"/>
              </w:rPr>
            </w:pPr>
            <w:r w:rsidRPr="00F00476">
              <w:rPr>
                <w:rFonts w:ascii="Arial" w:hAnsi="Arial" w:cs="Arial"/>
                <w:b/>
                <w:bCs/>
                <w:sz w:val="20"/>
                <w:szCs w:val="20"/>
              </w:rPr>
              <w:t>Relating to Renovation of Educational Facilities</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413E91">
              <w:rPr>
                <w:rFonts w:ascii="Arial" w:hAnsi="Arial" w:cs="Arial"/>
                <w:sz w:val="20"/>
                <w:szCs w:val="20"/>
              </w:rPr>
              <w:t>Zimmermann</w:t>
            </w:r>
            <w:r w:rsidRPr="00F00476">
              <w:rPr>
                <w:rFonts w:ascii="Arial" w:hAnsi="Arial" w:cs="Arial"/>
                <w:sz w:val="20"/>
                <w:szCs w:val="20"/>
              </w:rPr>
              <w:t xml:space="preserve"> </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F00476">
              <w:rPr>
                <w:rFonts w:ascii="Arial" w:hAnsi="Arial" w:cs="Arial"/>
                <w:sz w:val="20"/>
                <w:szCs w:val="20"/>
              </w:rPr>
              <w:t>12/05/13</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jc w:val="cente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jc w:val="center"/>
              <w:rPr>
                <w:rFonts w:ascii="Arial" w:hAnsi="Arial" w:cs="Arial"/>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6"/>
            <w:vAlign w:val="center"/>
            <w:hideMark/>
          </w:tcPr>
          <w:p w:rsidR="002A5595" w:rsidRPr="00F00476" w:rsidRDefault="002A5595">
            <w:pPr>
              <w:rPr>
                <w:rFonts w:ascii="Arial" w:hAnsi="Arial" w:cs="Arial"/>
                <w:sz w:val="20"/>
                <w:szCs w:val="20"/>
              </w:rPr>
            </w:pPr>
            <w:r w:rsidRPr="00F00476">
              <w:rPr>
                <w:rFonts w:ascii="Arial" w:hAnsi="Arial" w:cs="Arial"/>
                <w:sz w:val="20"/>
                <w:szCs w:val="20"/>
              </w:rPr>
              <w:t>Renovation of Educational Facilities: Requires school districts, state universities, &amp; Florida College System institutions to retrofit doors &amp; windows of educational facilities to comply with certain Florida Building Code standards; provides additional requirements; provides for funding through capital outlay funds. Effective Date: July 1, 2014</w:t>
            </w:r>
          </w:p>
        </w:tc>
        <w:tc>
          <w:tcPr>
            <w:tcW w:w="0" w:type="auto"/>
            <w:vAlign w:val="center"/>
            <w:hideMark/>
          </w:tcPr>
          <w:p w:rsidR="002A5595" w:rsidRPr="00F00476" w:rsidRDefault="002A5595">
            <w:pPr>
              <w:rPr>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779"/>
              <w:gridCol w:w="1201"/>
            </w:tblGrid>
            <w:tr w:rsidR="002A5595" w:rsidRPr="00F00476">
              <w:trPr>
                <w:tblCellSpacing w:w="0" w:type="dxa"/>
              </w:trPr>
              <w:tc>
                <w:tcPr>
                  <w:tcW w:w="0" w:type="auto"/>
                  <w:hideMark/>
                </w:tcPr>
                <w:p w:rsidR="002A5595" w:rsidRPr="00F00476" w:rsidRDefault="002A5595">
                  <w:pPr>
                    <w:rPr>
                      <w:rFonts w:ascii="Arial" w:hAnsi="Arial" w:cs="Arial"/>
                      <w:sz w:val="20"/>
                      <w:szCs w:val="20"/>
                    </w:rPr>
                  </w:pPr>
                  <w:r w:rsidRPr="00F00476">
                    <w:rPr>
                      <w:rFonts w:ascii="Arial" w:hAnsi="Arial" w:cs="Arial"/>
                      <w:sz w:val="20"/>
                      <w:szCs w:val="20"/>
                    </w:rPr>
                    <w:t xml:space="preserve">12/05/13 </w:t>
                  </w:r>
                </w:p>
              </w:tc>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HOUSE Filed</w:t>
                  </w:r>
                </w:p>
              </w:tc>
            </w:tr>
          </w:tbl>
          <w:p w:rsidR="002A5595" w:rsidRPr="00F00476" w:rsidRDefault="002A5595">
            <w:pPr>
              <w:rPr>
                <w:rFonts w:ascii="Arial" w:hAnsi="Arial" w:cs="Arial"/>
                <w:sz w:val="20"/>
                <w:szCs w:val="20"/>
              </w:rPr>
            </w:pPr>
          </w:p>
        </w:tc>
      </w:tr>
      <w:tr w:rsidR="002A5595" w:rsidTr="002A5595">
        <w:trPr>
          <w:tblCellSpacing w:w="0" w:type="dxa"/>
          <w:jc w:val="center"/>
        </w:trPr>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413E91">
              <w:rPr>
                <w:rFonts w:ascii="Arial" w:hAnsi="Arial" w:cs="Arial"/>
                <w:sz w:val="20"/>
                <w:szCs w:val="20"/>
              </w:rPr>
              <w:t>SB 0460</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b/>
                <w:bCs/>
                <w:sz w:val="20"/>
                <w:szCs w:val="20"/>
              </w:rPr>
            </w:pPr>
            <w:r w:rsidRPr="00F00476">
              <w:rPr>
                <w:rFonts w:ascii="Arial" w:hAnsi="Arial" w:cs="Arial"/>
                <w:b/>
                <w:bCs/>
                <w:sz w:val="20"/>
                <w:szCs w:val="20"/>
              </w:rPr>
              <w:t>Relating to Construction Liens</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413E91">
              <w:rPr>
                <w:rFonts w:ascii="Arial" w:hAnsi="Arial" w:cs="Arial"/>
                <w:sz w:val="20"/>
                <w:szCs w:val="20"/>
              </w:rPr>
              <w:t>Simpson</w:t>
            </w:r>
            <w:r w:rsidRPr="00F00476">
              <w:rPr>
                <w:rFonts w:ascii="Arial" w:hAnsi="Arial" w:cs="Arial"/>
                <w:sz w:val="20"/>
                <w:szCs w:val="20"/>
              </w:rPr>
              <w:t xml:space="preserve"> </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r w:rsidRPr="00F00476">
              <w:rPr>
                <w:rFonts w:ascii="Arial" w:hAnsi="Arial" w:cs="Arial"/>
                <w:sz w:val="20"/>
                <w:szCs w:val="20"/>
              </w:rPr>
              <w:t>12/02/13</w:t>
            </w: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jc w:val="center"/>
              <w:rPr>
                <w:rFonts w:ascii="Arial" w:hAnsi="Arial" w:cs="Arial"/>
                <w:sz w:val="20"/>
                <w:szCs w:val="20"/>
              </w:rPr>
            </w:pPr>
          </w:p>
        </w:tc>
        <w:tc>
          <w:tcPr>
            <w:tcW w:w="0" w:type="auto"/>
            <w:tcBorders>
              <w:top w:val="single" w:sz="4" w:space="0" w:color="000000"/>
            </w:tcBorders>
            <w:shd w:val="clear" w:color="auto" w:fill="EEEEEE"/>
            <w:vAlign w:val="center"/>
            <w:hideMark/>
          </w:tcPr>
          <w:p w:rsidR="002A5595" w:rsidRPr="00F00476" w:rsidRDefault="002A5595">
            <w:pPr>
              <w:jc w:val="center"/>
              <w:rPr>
                <w:rFonts w:ascii="Arial" w:hAnsi="Arial" w:cs="Arial"/>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6"/>
            <w:vAlign w:val="center"/>
            <w:hideMark/>
          </w:tcPr>
          <w:p w:rsidR="002A5595" w:rsidRPr="00F00476" w:rsidRDefault="002A5595">
            <w:pPr>
              <w:rPr>
                <w:rFonts w:ascii="Arial" w:hAnsi="Arial" w:cs="Arial"/>
                <w:sz w:val="20"/>
                <w:szCs w:val="20"/>
              </w:rPr>
            </w:pPr>
            <w:r w:rsidRPr="00F00476">
              <w:rPr>
                <w:rFonts w:ascii="Arial" w:hAnsi="Arial" w:cs="Arial"/>
                <w:sz w:val="20"/>
                <w:szCs w:val="20"/>
              </w:rPr>
              <w:t xml:space="preserve">Construction Liens; Specifying a new fee for recording a claim of lien under the Construction Lien Law; providing that recording a claim of lien after a specified time is an act of fraud; requiring certain documents to be provided before a claim of lien is recorded; requiring the clerk of court to attach such document to the claim of lien before recording the claim, etc. Effective Date: 7/1/2014 </w:t>
            </w:r>
          </w:p>
        </w:tc>
        <w:tc>
          <w:tcPr>
            <w:tcW w:w="0" w:type="auto"/>
            <w:vAlign w:val="center"/>
            <w:hideMark/>
          </w:tcPr>
          <w:p w:rsidR="002A5595" w:rsidRPr="00F00476" w:rsidRDefault="002A5595">
            <w:pPr>
              <w:rPr>
                <w:sz w:val="20"/>
                <w:szCs w:val="20"/>
              </w:rPr>
            </w:pPr>
          </w:p>
        </w:tc>
      </w:tr>
      <w:tr w:rsidR="002A5595" w:rsidTr="002A5595">
        <w:trPr>
          <w:tblCellSpacing w:w="0" w:type="dxa"/>
          <w:jc w:val="center"/>
        </w:trPr>
        <w:tc>
          <w:tcPr>
            <w:tcW w:w="0" w:type="auto"/>
            <w:vAlign w:val="center"/>
            <w:hideMark/>
          </w:tcPr>
          <w:p w:rsidR="002A5595" w:rsidRPr="00F00476" w:rsidRDefault="002A5595">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779"/>
              <w:gridCol w:w="1290"/>
            </w:tblGrid>
            <w:tr w:rsidR="002A5595" w:rsidRPr="00F00476">
              <w:trPr>
                <w:tblCellSpacing w:w="0" w:type="dxa"/>
              </w:trPr>
              <w:tc>
                <w:tcPr>
                  <w:tcW w:w="0" w:type="auto"/>
                  <w:hideMark/>
                </w:tcPr>
                <w:p w:rsidR="002A5595" w:rsidRPr="00F00476" w:rsidRDefault="002A5595">
                  <w:pPr>
                    <w:rPr>
                      <w:rFonts w:ascii="Arial" w:hAnsi="Arial" w:cs="Arial"/>
                      <w:sz w:val="20"/>
                      <w:szCs w:val="20"/>
                    </w:rPr>
                  </w:pPr>
                  <w:r w:rsidRPr="00F00476">
                    <w:rPr>
                      <w:rFonts w:ascii="Arial" w:hAnsi="Arial" w:cs="Arial"/>
                      <w:sz w:val="20"/>
                      <w:szCs w:val="20"/>
                    </w:rPr>
                    <w:t xml:space="preserve">12/02/13 </w:t>
                  </w:r>
                </w:p>
              </w:tc>
              <w:tc>
                <w:tcPr>
                  <w:tcW w:w="0" w:type="auto"/>
                  <w:vAlign w:val="center"/>
                  <w:hideMark/>
                </w:tcPr>
                <w:p w:rsidR="002A5595" w:rsidRPr="00F00476" w:rsidRDefault="002A5595">
                  <w:pPr>
                    <w:rPr>
                      <w:rFonts w:ascii="Arial" w:hAnsi="Arial" w:cs="Arial"/>
                      <w:sz w:val="20"/>
                      <w:szCs w:val="20"/>
                    </w:rPr>
                  </w:pPr>
                  <w:r w:rsidRPr="00F00476">
                    <w:rPr>
                      <w:rFonts w:ascii="Arial" w:hAnsi="Arial" w:cs="Arial"/>
                      <w:sz w:val="20"/>
                      <w:szCs w:val="20"/>
                    </w:rPr>
                    <w:t>SENATE Filed</w:t>
                  </w:r>
                </w:p>
              </w:tc>
            </w:tr>
          </w:tbl>
          <w:p w:rsidR="002A5595" w:rsidRPr="00F00476" w:rsidRDefault="002A5595">
            <w:pPr>
              <w:rPr>
                <w:rFonts w:ascii="Arial" w:hAnsi="Arial" w:cs="Arial"/>
                <w:sz w:val="20"/>
                <w:szCs w:val="20"/>
              </w:rPr>
            </w:pPr>
          </w:p>
        </w:tc>
      </w:tr>
    </w:tbl>
    <w:p w:rsidR="00695A6D" w:rsidRPr="00F054FC" w:rsidRDefault="00695A6D" w:rsidP="00695A6D">
      <w:pPr>
        <w:pStyle w:val="BlockText"/>
        <w:rPr>
          <w:sz w:val="22"/>
          <w:szCs w:val="22"/>
        </w:rPr>
      </w:pPr>
    </w:p>
    <w:p w:rsidR="00F00476" w:rsidRDefault="00F00476" w:rsidP="002B78B0">
      <w:pPr>
        <w:pStyle w:val="BlockText"/>
      </w:pPr>
    </w:p>
    <w:p w:rsidR="00156092" w:rsidRDefault="00156092" w:rsidP="002B78B0">
      <w:pPr>
        <w:pStyle w:val="BlockText"/>
      </w:pPr>
      <w:r>
        <w:t>Respectfully submitted,</w:t>
      </w:r>
    </w:p>
    <w:p w:rsidR="00E8267C" w:rsidRDefault="009F4440" w:rsidP="002B78B0">
      <w:pPr>
        <w:pStyle w:val="BlockText"/>
      </w:pPr>
      <w:r>
        <w:t>Fred R. Dudley, Esq.</w:t>
      </w:r>
    </w:p>
    <w:p w:rsidR="00156092" w:rsidRDefault="002438D2" w:rsidP="002B78B0">
      <w:pPr>
        <w:pStyle w:val="BlockText"/>
      </w:pPr>
      <w:r>
        <w:t>December 5</w:t>
      </w:r>
      <w:r w:rsidR="0029168D">
        <w:t>, 2</w:t>
      </w:r>
      <w:r w:rsidR="003C4C6F">
        <w:t>013</w:t>
      </w:r>
      <w:r w:rsidR="00156092">
        <w:t>.</w:t>
      </w:r>
    </w:p>
    <w:p w:rsidR="009C6CE8" w:rsidRDefault="009C6CE8" w:rsidP="00922A6D">
      <w:pPr>
        <w:pStyle w:val="BlockText"/>
        <w:ind w:left="360"/>
      </w:pPr>
    </w:p>
    <w:p w:rsidR="005B581D" w:rsidRDefault="005B581D">
      <w:pPr>
        <w:pStyle w:val="BlockText"/>
        <w:ind w:left="360"/>
      </w:pPr>
    </w:p>
    <w:sectPr w:rsidR="005B581D" w:rsidSect="009A10B6">
      <w:headerReference w:type="even" r:id="rId7"/>
      <w:headerReference w:type="default" r:id="rId8"/>
      <w:footerReference w:type="even" r:id="rId9"/>
      <w:footerReference w:type="default" r:id="rId10"/>
      <w:headerReference w:type="first" r:id="rId11"/>
      <w:footerReference w:type="first" r:id="rId12"/>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AA9" w:rsidRDefault="009D4AA9" w:rsidP="009A2CBA">
      <w:r>
        <w:separator/>
      </w:r>
    </w:p>
  </w:endnote>
  <w:endnote w:type="continuationSeparator" w:id="0">
    <w:p w:rsidR="009D4AA9" w:rsidRDefault="009D4AA9"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91" w:rsidRDefault="00413E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595" w:rsidRDefault="002A5595" w:rsidP="000421B5">
    <w:pPr>
      <w:pStyle w:val="Footer"/>
    </w:pPr>
    <w:r>
      <w:tab/>
    </w:r>
    <w:fldSimple w:instr=" PAGE   \* MERGEFORMAT ">
      <w:r w:rsidR="002B35C5">
        <w:rPr>
          <w:noProof/>
        </w:rPr>
        <w:t>2</w:t>
      </w:r>
    </w:fldSimple>
  </w:p>
  <w:p w:rsidR="002A5595" w:rsidRPr="00911FE4" w:rsidRDefault="00413E91" w:rsidP="000421B5">
    <w:pPr>
      <w:pStyle w:val="Footer"/>
      <w:rPr>
        <w:rStyle w:val="DocID"/>
      </w:rPr>
    </w:pPr>
    <w:r w:rsidRPr="00413E91">
      <w:rPr>
        <w:rStyle w:val="DocID"/>
      </w:rPr>
      <w:t>#26800403_v1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595" w:rsidRPr="00911FE4" w:rsidRDefault="00484142" w:rsidP="000421B5">
    <w:pPr>
      <w:pStyle w:val="Footer"/>
      <w:rPr>
        <w:rStyle w:val="DocID"/>
      </w:rPr>
    </w:pPr>
    <w:r>
      <w:rPr>
        <w:sz w:val="20"/>
      </w:rPr>
      <w:fldChar w:fldCharType="begin"/>
    </w:r>
    <w:r w:rsidR="002A5595">
      <w:rPr>
        <w:sz w:val="20"/>
      </w:rPr>
      <w:instrText xml:space="preserve"> If </w:instrText>
    </w:r>
    <w:r>
      <w:rPr>
        <w:sz w:val="20"/>
      </w:rPr>
      <w:fldChar w:fldCharType="begin"/>
    </w:r>
    <w:r w:rsidR="002A5595">
      <w:rPr>
        <w:sz w:val="20"/>
      </w:rPr>
      <w:instrText xml:space="preserve"> numpages </w:instrText>
    </w:r>
    <w:r>
      <w:rPr>
        <w:sz w:val="20"/>
      </w:rPr>
      <w:fldChar w:fldCharType="separate"/>
    </w:r>
    <w:r w:rsidR="002B35C5">
      <w:rPr>
        <w:noProof/>
        <w:sz w:val="20"/>
      </w:rPr>
      <w:instrText>1</w:instrText>
    </w:r>
    <w:r>
      <w:rPr>
        <w:sz w:val="20"/>
      </w:rPr>
      <w:fldChar w:fldCharType="end"/>
    </w:r>
    <w:r w:rsidR="002A5595">
      <w:rPr>
        <w:sz w:val="20"/>
      </w:rPr>
      <w:instrText xml:space="preserve"> = 1 </w:instrText>
    </w:r>
    <w:r w:rsidR="002A5595" w:rsidRPr="002438D2">
      <w:rPr>
        <w:rStyle w:val="DocID"/>
      </w:rPr>
      <w:instrText>#12612613_v1</w:instrText>
    </w:r>
    <w:r w:rsidR="002A5595">
      <w:instrText xml:space="preserve"> ""</w:instrText>
    </w:r>
    <w:r w:rsidR="002A5595">
      <w:rPr>
        <w:sz w:val="20"/>
      </w:rPr>
      <w:instrText xml:space="preserve"> </w:instrText>
    </w:r>
    <w:r w:rsidR="002B35C5">
      <w:rPr>
        <w:sz w:val="20"/>
      </w:rPr>
      <w:fldChar w:fldCharType="separate"/>
    </w:r>
    <w:r w:rsidR="002B35C5" w:rsidRPr="002438D2">
      <w:rPr>
        <w:rStyle w:val="DocID"/>
        <w:noProof/>
      </w:rPr>
      <w:t>#12612613_v1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AA9" w:rsidRDefault="009D4AA9" w:rsidP="009A2CBA">
      <w:r>
        <w:separator/>
      </w:r>
    </w:p>
  </w:footnote>
  <w:footnote w:type="continuationSeparator" w:id="0">
    <w:p w:rsidR="009D4AA9" w:rsidRDefault="009D4AA9" w:rsidP="009A2CBA">
      <w:r>
        <w:continuationSeparator/>
      </w:r>
    </w:p>
  </w:footnote>
  <w:footnote w:id="1">
    <w:p w:rsidR="002A5595" w:rsidRPr="0038047E" w:rsidRDefault="002A5595" w:rsidP="00491907">
      <w:pPr>
        <w:pStyle w:val="BlockText"/>
      </w:pPr>
      <w:r>
        <w:rPr>
          <w:rStyle w:val="FootnoteReference"/>
        </w:rPr>
        <w:footnoteRef/>
      </w:r>
      <w:r>
        <w:t xml:space="preserve"> The Florida Building Commission is </w:t>
      </w:r>
      <w:r w:rsidRPr="00F054FC">
        <w:rPr>
          <w:b/>
          <w:u w:val="single"/>
        </w:rPr>
        <w:t>not</w:t>
      </w:r>
      <w:r>
        <w:t xml:space="preserve"> allowed to grant variances or waivers from the Florida Building Code, expect as to handicapped accessibility issues. </w:t>
      </w:r>
      <w:r w:rsidRPr="0038047E">
        <w:t xml:space="preserve">As part of the TRANSFER of this commission from the now-defunct Department of Community Affairs to the Department of Business and Professional Regulation, all rules from </w:t>
      </w:r>
      <w:r>
        <w:t xml:space="preserve">former </w:t>
      </w:r>
      <w:r w:rsidRPr="0038047E">
        <w:t>Chapter 9N have been TRANSFERRED to Chapter 61G20, FAC.</w:t>
      </w:r>
    </w:p>
    <w:p w:rsidR="002A5595" w:rsidRDefault="002A5595" w:rsidP="004E142A">
      <w:pPr>
        <w:pStyle w:val="BlockText"/>
      </w:pPr>
    </w:p>
    <w:p w:rsidR="002A5595" w:rsidRDefault="002A5595" w:rsidP="004E142A">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91" w:rsidRDefault="00413E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91" w:rsidRDefault="00413E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91" w:rsidRDefault="00413E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C84AA5"/>
    <w:multiLevelType w:val="hybridMultilevel"/>
    <w:tmpl w:val="DB4C8B38"/>
    <w:lvl w:ilvl="0" w:tplc="0409000F">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50E0A57"/>
    <w:multiLevelType w:val="hybridMultilevel"/>
    <w:tmpl w:val="4BA6A7DE"/>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2C524B"/>
    <w:multiLevelType w:val="hybridMultilevel"/>
    <w:tmpl w:val="824871A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5"/>
  </w:num>
  <w:num w:numId="3">
    <w:abstractNumId w:val="0"/>
  </w:num>
  <w:num w:numId="4">
    <w:abstractNumId w:val="10"/>
  </w:num>
  <w:num w:numId="5">
    <w:abstractNumId w:val="38"/>
  </w:num>
  <w:num w:numId="6">
    <w:abstractNumId w:val="31"/>
  </w:num>
  <w:num w:numId="7">
    <w:abstractNumId w:val="28"/>
  </w:num>
  <w:num w:numId="8">
    <w:abstractNumId w:val="46"/>
  </w:num>
  <w:num w:numId="9">
    <w:abstractNumId w:val="29"/>
  </w:num>
  <w:num w:numId="10">
    <w:abstractNumId w:val="6"/>
  </w:num>
  <w:num w:numId="11">
    <w:abstractNumId w:val="5"/>
  </w:num>
  <w:num w:numId="12">
    <w:abstractNumId w:val="8"/>
  </w:num>
  <w:num w:numId="13">
    <w:abstractNumId w:val="19"/>
  </w:num>
  <w:num w:numId="14">
    <w:abstractNumId w:val="37"/>
  </w:num>
  <w:num w:numId="15">
    <w:abstractNumId w:val="42"/>
  </w:num>
  <w:num w:numId="16">
    <w:abstractNumId w:val="44"/>
  </w:num>
  <w:num w:numId="17">
    <w:abstractNumId w:val="33"/>
  </w:num>
  <w:num w:numId="18">
    <w:abstractNumId w:val="9"/>
  </w:num>
  <w:num w:numId="19">
    <w:abstractNumId w:val="40"/>
  </w:num>
  <w:num w:numId="20">
    <w:abstractNumId w:val="45"/>
  </w:num>
  <w:num w:numId="21">
    <w:abstractNumId w:val="32"/>
  </w:num>
  <w:num w:numId="22">
    <w:abstractNumId w:val="47"/>
  </w:num>
  <w:num w:numId="23">
    <w:abstractNumId w:val="13"/>
  </w:num>
  <w:num w:numId="24">
    <w:abstractNumId w:val="11"/>
  </w:num>
  <w:num w:numId="25">
    <w:abstractNumId w:val="16"/>
  </w:num>
  <w:num w:numId="26">
    <w:abstractNumId w:val="3"/>
  </w:num>
  <w:num w:numId="27">
    <w:abstractNumId w:val="1"/>
  </w:num>
  <w:num w:numId="28">
    <w:abstractNumId w:val="22"/>
  </w:num>
  <w:num w:numId="29">
    <w:abstractNumId w:val="23"/>
  </w:num>
  <w:num w:numId="30">
    <w:abstractNumId w:val="7"/>
  </w:num>
  <w:num w:numId="31">
    <w:abstractNumId w:val="18"/>
  </w:num>
  <w:num w:numId="32">
    <w:abstractNumId w:val="21"/>
  </w:num>
  <w:num w:numId="33">
    <w:abstractNumId w:val="27"/>
  </w:num>
  <w:num w:numId="34">
    <w:abstractNumId w:val="17"/>
  </w:num>
  <w:num w:numId="35">
    <w:abstractNumId w:val="25"/>
  </w:num>
  <w:num w:numId="36">
    <w:abstractNumId w:val="24"/>
  </w:num>
  <w:num w:numId="37">
    <w:abstractNumId w:val="39"/>
  </w:num>
  <w:num w:numId="38">
    <w:abstractNumId w:val="43"/>
  </w:num>
  <w:num w:numId="39">
    <w:abstractNumId w:val="41"/>
  </w:num>
  <w:num w:numId="40">
    <w:abstractNumId w:val="36"/>
  </w:num>
  <w:num w:numId="41">
    <w:abstractNumId w:val="34"/>
  </w:num>
  <w:num w:numId="42">
    <w:abstractNumId w:val="14"/>
  </w:num>
  <w:num w:numId="43">
    <w:abstractNumId w:val="26"/>
  </w:num>
  <w:num w:numId="44">
    <w:abstractNumId w:val="20"/>
  </w:num>
  <w:num w:numId="45">
    <w:abstractNumId w:val="15"/>
  </w:num>
  <w:num w:numId="46">
    <w:abstractNumId w:val="4"/>
  </w:num>
  <w:num w:numId="47">
    <w:abstractNumId w:val="12"/>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1021"/>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8155F"/>
    <w:rsid w:val="00011776"/>
    <w:rsid w:val="0001260C"/>
    <w:rsid w:val="00013164"/>
    <w:rsid w:val="00016A29"/>
    <w:rsid w:val="00026C6B"/>
    <w:rsid w:val="00027FC3"/>
    <w:rsid w:val="000302BC"/>
    <w:rsid w:val="000324B5"/>
    <w:rsid w:val="000340FB"/>
    <w:rsid w:val="000341ED"/>
    <w:rsid w:val="000421B5"/>
    <w:rsid w:val="0005012E"/>
    <w:rsid w:val="000509E7"/>
    <w:rsid w:val="00052694"/>
    <w:rsid w:val="00054D0D"/>
    <w:rsid w:val="0005515D"/>
    <w:rsid w:val="00055700"/>
    <w:rsid w:val="00061C8E"/>
    <w:rsid w:val="00074EDF"/>
    <w:rsid w:val="00084298"/>
    <w:rsid w:val="00094361"/>
    <w:rsid w:val="000A3246"/>
    <w:rsid w:val="000A4BA4"/>
    <w:rsid w:val="000A66AC"/>
    <w:rsid w:val="000B0E17"/>
    <w:rsid w:val="000B1DDB"/>
    <w:rsid w:val="000B2203"/>
    <w:rsid w:val="000B76DD"/>
    <w:rsid w:val="000C4772"/>
    <w:rsid w:val="000D08E7"/>
    <w:rsid w:val="000D2555"/>
    <w:rsid w:val="000D7A4E"/>
    <w:rsid w:val="000E17E8"/>
    <w:rsid w:val="000E6D1A"/>
    <w:rsid w:val="000F112D"/>
    <w:rsid w:val="000F2EBD"/>
    <w:rsid w:val="000F6911"/>
    <w:rsid w:val="000F69D8"/>
    <w:rsid w:val="00100E22"/>
    <w:rsid w:val="00103CDF"/>
    <w:rsid w:val="0010433D"/>
    <w:rsid w:val="00107362"/>
    <w:rsid w:val="00110D3B"/>
    <w:rsid w:val="001114F7"/>
    <w:rsid w:val="001148B5"/>
    <w:rsid w:val="001150F0"/>
    <w:rsid w:val="001156AF"/>
    <w:rsid w:val="00117224"/>
    <w:rsid w:val="00117544"/>
    <w:rsid w:val="00121A5A"/>
    <w:rsid w:val="00126ABD"/>
    <w:rsid w:val="0013367A"/>
    <w:rsid w:val="00135B1C"/>
    <w:rsid w:val="001437FC"/>
    <w:rsid w:val="00146E4E"/>
    <w:rsid w:val="001476D7"/>
    <w:rsid w:val="00151063"/>
    <w:rsid w:val="00151720"/>
    <w:rsid w:val="00151F43"/>
    <w:rsid w:val="00156092"/>
    <w:rsid w:val="001572A8"/>
    <w:rsid w:val="00162E5A"/>
    <w:rsid w:val="001673C5"/>
    <w:rsid w:val="0017187B"/>
    <w:rsid w:val="00172C04"/>
    <w:rsid w:val="00175923"/>
    <w:rsid w:val="001768AB"/>
    <w:rsid w:val="0019065B"/>
    <w:rsid w:val="001963BC"/>
    <w:rsid w:val="001B0E80"/>
    <w:rsid w:val="001B11FD"/>
    <w:rsid w:val="001B4226"/>
    <w:rsid w:val="001B5A99"/>
    <w:rsid w:val="001B5DD4"/>
    <w:rsid w:val="001B6195"/>
    <w:rsid w:val="001B73F6"/>
    <w:rsid w:val="001D0121"/>
    <w:rsid w:val="001D1B70"/>
    <w:rsid w:val="001D25D1"/>
    <w:rsid w:val="001D50A8"/>
    <w:rsid w:val="001E327E"/>
    <w:rsid w:val="001E3281"/>
    <w:rsid w:val="001F01B4"/>
    <w:rsid w:val="001F18CD"/>
    <w:rsid w:val="001F7DB9"/>
    <w:rsid w:val="00200951"/>
    <w:rsid w:val="00210263"/>
    <w:rsid w:val="00221926"/>
    <w:rsid w:val="00221AAE"/>
    <w:rsid w:val="00222C12"/>
    <w:rsid w:val="002236E8"/>
    <w:rsid w:val="0022445A"/>
    <w:rsid w:val="00227443"/>
    <w:rsid w:val="002321A5"/>
    <w:rsid w:val="002348A5"/>
    <w:rsid w:val="002363CA"/>
    <w:rsid w:val="00236A0B"/>
    <w:rsid w:val="00236AB0"/>
    <w:rsid w:val="00237AEC"/>
    <w:rsid w:val="002438D2"/>
    <w:rsid w:val="00243FF8"/>
    <w:rsid w:val="00246D22"/>
    <w:rsid w:val="00251EB1"/>
    <w:rsid w:val="00252DC4"/>
    <w:rsid w:val="002558FB"/>
    <w:rsid w:val="00262A25"/>
    <w:rsid w:val="002630F7"/>
    <w:rsid w:val="00273404"/>
    <w:rsid w:val="00274276"/>
    <w:rsid w:val="002857BE"/>
    <w:rsid w:val="00286558"/>
    <w:rsid w:val="00286B40"/>
    <w:rsid w:val="00286B5F"/>
    <w:rsid w:val="00290B6F"/>
    <w:rsid w:val="0029168D"/>
    <w:rsid w:val="00292E15"/>
    <w:rsid w:val="002935A9"/>
    <w:rsid w:val="00294F80"/>
    <w:rsid w:val="002A4DD8"/>
    <w:rsid w:val="002A5595"/>
    <w:rsid w:val="002A7577"/>
    <w:rsid w:val="002A777F"/>
    <w:rsid w:val="002B09F1"/>
    <w:rsid w:val="002B0DFC"/>
    <w:rsid w:val="002B35C5"/>
    <w:rsid w:val="002B3E98"/>
    <w:rsid w:val="002B78B0"/>
    <w:rsid w:val="002C378F"/>
    <w:rsid w:val="002C5E1D"/>
    <w:rsid w:val="002D1599"/>
    <w:rsid w:val="002D4362"/>
    <w:rsid w:val="002E2A6D"/>
    <w:rsid w:val="002F015B"/>
    <w:rsid w:val="002F16B3"/>
    <w:rsid w:val="002F61E3"/>
    <w:rsid w:val="00305D83"/>
    <w:rsid w:val="00305FDE"/>
    <w:rsid w:val="00311BC1"/>
    <w:rsid w:val="003134D3"/>
    <w:rsid w:val="0031487D"/>
    <w:rsid w:val="003154E8"/>
    <w:rsid w:val="00321E89"/>
    <w:rsid w:val="003239B0"/>
    <w:rsid w:val="0032598E"/>
    <w:rsid w:val="003319A7"/>
    <w:rsid w:val="00332825"/>
    <w:rsid w:val="003376F7"/>
    <w:rsid w:val="00340637"/>
    <w:rsid w:val="00340740"/>
    <w:rsid w:val="00340B4E"/>
    <w:rsid w:val="00342DB6"/>
    <w:rsid w:val="00345235"/>
    <w:rsid w:val="003473F4"/>
    <w:rsid w:val="003508EE"/>
    <w:rsid w:val="003563EF"/>
    <w:rsid w:val="00356433"/>
    <w:rsid w:val="00361628"/>
    <w:rsid w:val="0036439B"/>
    <w:rsid w:val="00376DA1"/>
    <w:rsid w:val="0038047E"/>
    <w:rsid w:val="00383EFB"/>
    <w:rsid w:val="00384141"/>
    <w:rsid w:val="00385904"/>
    <w:rsid w:val="003A0148"/>
    <w:rsid w:val="003A1E91"/>
    <w:rsid w:val="003A33A5"/>
    <w:rsid w:val="003A4FB0"/>
    <w:rsid w:val="003B5B30"/>
    <w:rsid w:val="003C09F0"/>
    <w:rsid w:val="003C265E"/>
    <w:rsid w:val="003C40E8"/>
    <w:rsid w:val="003C4C6F"/>
    <w:rsid w:val="003C50CC"/>
    <w:rsid w:val="003D34DF"/>
    <w:rsid w:val="003D6EAC"/>
    <w:rsid w:val="003D7308"/>
    <w:rsid w:val="003E09D4"/>
    <w:rsid w:val="003E13A7"/>
    <w:rsid w:val="003E3843"/>
    <w:rsid w:val="003F395F"/>
    <w:rsid w:val="003F4811"/>
    <w:rsid w:val="003F5F1A"/>
    <w:rsid w:val="00401A5C"/>
    <w:rsid w:val="00413E91"/>
    <w:rsid w:val="00416C25"/>
    <w:rsid w:val="004200FB"/>
    <w:rsid w:val="004204AE"/>
    <w:rsid w:val="00425FE8"/>
    <w:rsid w:val="00427E2F"/>
    <w:rsid w:val="00436BA2"/>
    <w:rsid w:val="004406AC"/>
    <w:rsid w:val="00441CD1"/>
    <w:rsid w:val="00454846"/>
    <w:rsid w:val="0045543B"/>
    <w:rsid w:val="0046192D"/>
    <w:rsid w:val="004634BE"/>
    <w:rsid w:val="00465432"/>
    <w:rsid w:val="0047003F"/>
    <w:rsid w:val="00474D96"/>
    <w:rsid w:val="00480712"/>
    <w:rsid w:val="00484142"/>
    <w:rsid w:val="00484B9C"/>
    <w:rsid w:val="00491907"/>
    <w:rsid w:val="00492027"/>
    <w:rsid w:val="004A0671"/>
    <w:rsid w:val="004A451E"/>
    <w:rsid w:val="004A5613"/>
    <w:rsid w:val="004A582F"/>
    <w:rsid w:val="004A6E9B"/>
    <w:rsid w:val="004B196B"/>
    <w:rsid w:val="004C458B"/>
    <w:rsid w:val="004C63D8"/>
    <w:rsid w:val="004C7846"/>
    <w:rsid w:val="004E1249"/>
    <w:rsid w:val="004E142A"/>
    <w:rsid w:val="004E2A5D"/>
    <w:rsid w:val="004E35D0"/>
    <w:rsid w:val="004E61C2"/>
    <w:rsid w:val="004E7067"/>
    <w:rsid w:val="004F030C"/>
    <w:rsid w:val="004F3D87"/>
    <w:rsid w:val="00500503"/>
    <w:rsid w:val="00504537"/>
    <w:rsid w:val="005063F3"/>
    <w:rsid w:val="0051221A"/>
    <w:rsid w:val="00512724"/>
    <w:rsid w:val="00520F5E"/>
    <w:rsid w:val="005237C4"/>
    <w:rsid w:val="0052642A"/>
    <w:rsid w:val="00530892"/>
    <w:rsid w:val="00530CD6"/>
    <w:rsid w:val="00535353"/>
    <w:rsid w:val="00535A2B"/>
    <w:rsid w:val="0053686B"/>
    <w:rsid w:val="00537681"/>
    <w:rsid w:val="00540398"/>
    <w:rsid w:val="005463F4"/>
    <w:rsid w:val="00553CBE"/>
    <w:rsid w:val="00555FBF"/>
    <w:rsid w:val="005665C2"/>
    <w:rsid w:val="00571120"/>
    <w:rsid w:val="0059572F"/>
    <w:rsid w:val="005A61CC"/>
    <w:rsid w:val="005A74C3"/>
    <w:rsid w:val="005B212C"/>
    <w:rsid w:val="005B2CCD"/>
    <w:rsid w:val="005B558F"/>
    <w:rsid w:val="005B581D"/>
    <w:rsid w:val="005C08FA"/>
    <w:rsid w:val="005C40F9"/>
    <w:rsid w:val="005C5CFC"/>
    <w:rsid w:val="005D217B"/>
    <w:rsid w:val="005D446B"/>
    <w:rsid w:val="005D5F3E"/>
    <w:rsid w:val="005D71D8"/>
    <w:rsid w:val="005E4539"/>
    <w:rsid w:val="005E73B8"/>
    <w:rsid w:val="005F17D4"/>
    <w:rsid w:val="005F1FB3"/>
    <w:rsid w:val="005F2E38"/>
    <w:rsid w:val="005F4A79"/>
    <w:rsid w:val="005F705E"/>
    <w:rsid w:val="005F770C"/>
    <w:rsid w:val="00600D46"/>
    <w:rsid w:val="00604806"/>
    <w:rsid w:val="0060730E"/>
    <w:rsid w:val="00614279"/>
    <w:rsid w:val="00620CC5"/>
    <w:rsid w:val="006221E1"/>
    <w:rsid w:val="0063019F"/>
    <w:rsid w:val="0063517A"/>
    <w:rsid w:val="0064458E"/>
    <w:rsid w:val="00644BDC"/>
    <w:rsid w:val="0064574F"/>
    <w:rsid w:val="006465C5"/>
    <w:rsid w:val="00654846"/>
    <w:rsid w:val="006577D7"/>
    <w:rsid w:val="00657E5B"/>
    <w:rsid w:val="00660F73"/>
    <w:rsid w:val="0066317C"/>
    <w:rsid w:val="006639C7"/>
    <w:rsid w:val="00667D54"/>
    <w:rsid w:val="00675E10"/>
    <w:rsid w:val="00685808"/>
    <w:rsid w:val="00695A6D"/>
    <w:rsid w:val="00697F28"/>
    <w:rsid w:val="006A3547"/>
    <w:rsid w:val="006A3A6B"/>
    <w:rsid w:val="006A3B11"/>
    <w:rsid w:val="006A50BC"/>
    <w:rsid w:val="006B1D63"/>
    <w:rsid w:val="006B60DD"/>
    <w:rsid w:val="006C5A7D"/>
    <w:rsid w:val="006C704A"/>
    <w:rsid w:val="006D3AD0"/>
    <w:rsid w:val="006D7744"/>
    <w:rsid w:val="006E3B26"/>
    <w:rsid w:val="006E5368"/>
    <w:rsid w:val="006E5C27"/>
    <w:rsid w:val="006F336C"/>
    <w:rsid w:val="006F4CE9"/>
    <w:rsid w:val="007017B0"/>
    <w:rsid w:val="0070218E"/>
    <w:rsid w:val="007065A1"/>
    <w:rsid w:val="007135EE"/>
    <w:rsid w:val="007150E1"/>
    <w:rsid w:val="00722B80"/>
    <w:rsid w:val="00722DD1"/>
    <w:rsid w:val="0074468A"/>
    <w:rsid w:val="00757661"/>
    <w:rsid w:val="00760E2D"/>
    <w:rsid w:val="00774A2B"/>
    <w:rsid w:val="007755F6"/>
    <w:rsid w:val="00780CCE"/>
    <w:rsid w:val="007862BD"/>
    <w:rsid w:val="007870BA"/>
    <w:rsid w:val="007902F3"/>
    <w:rsid w:val="00793514"/>
    <w:rsid w:val="00795394"/>
    <w:rsid w:val="00795F45"/>
    <w:rsid w:val="00797252"/>
    <w:rsid w:val="007977D0"/>
    <w:rsid w:val="007A0040"/>
    <w:rsid w:val="007A040E"/>
    <w:rsid w:val="007A2C34"/>
    <w:rsid w:val="007A7335"/>
    <w:rsid w:val="007B455D"/>
    <w:rsid w:val="007C3596"/>
    <w:rsid w:val="007C479E"/>
    <w:rsid w:val="007C534A"/>
    <w:rsid w:val="007D14A8"/>
    <w:rsid w:val="007E128E"/>
    <w:rsid w:val="007E2299"/>
    <w:rsid w:val="007E4176"/>
    <w:rsid w:val="007F16BD"/>
    <w:rsid w:val="007F2F12"/>
    <w:rsid w:val="007F63B9"/>
    <w:rsid w:val="007F6E51"/>
    <w:rsid w:val="00801B02"/>
    <w:rsid w:val="00806AA8"/>
    <w:rsid w:val="00812FF0"/>
    <w:rsid w:val="008157CF"/>
    <w:rsid w:val="00820D75"/>
    <w:rsid w:val="00821688"/>
    <w:rsid w:val="008219AB"/>
    <w:rsid w:val="0082467E"/>
    <w:rsid w:val="008271F6"/>
    <w:rsid w:val="00832281"/>
    <w:rsid w:val="00832A42"/>
    <w:rsid w:val="0083319A"/>
    <w:rsid w:val="00833649"/>
    <w:rsid w:val="008476AE"/>
    <w:rsid w:val="0086294F"/>
    <w:rsid w:val="008642DB"/>
    <w:rsid w:val="00864F61"/>
    <w:rsid w:val="008667F9"/>
    <w:rsid w:val="008714D7"/>
    <w:rsid w:val="00875906"/>
    <w:rsid w:val="00883771"/>
    <w:rsid w:val="0088673E"/>
    <w:rsid w:val="00886D9E"/>
    <w:rsid w:val="0089089A"/>
    <w:rsid w:val="00894D34"/>
    <w:rsid w:val="008A4467"/>
    <w:rsid w:val="008A7FFE"/>
    <w:rsid w:val="008B06DE"/>
    <w:rsid w:val="008B10F9"/>
    <w:rsid w:val="008B64BE"/>
    <w:rsid w:val="008B6B8E"/>
    <w:rsid w:val="008B6F95"/>
    <w:rsid w:val="008C0D2B"/>
    <w:rsid w:val="008C23E6"/>
    <w:rsid w:val="008C44B6"/>
    <w:rsid w:val="008C4CD7"/>
    <w:rsid w:val="008C57F6"/>
    <w:rsid w:val="008C6567"/>
    <w:rsid w:val="008D5528"/>
    <w:rsid w:val="008D7EAD"/>
    <w:rsid w:val="008E212F"/>
    <w:rsid w:val="008F58B8"/>
    <w:rsid w:val="008F6B36"/>
    <w:rsid w:val="009008DD"/>
    <w:rsid w:val="009024B4"/>
    <w:rsid w:val="0090334E"/>
    <w:rsid w:val="009037AF"/>
    <w:rsid w:val="0090427C"/>
    <w:rsid w:val="00910237"/>
    <w:rsid w:val="00912B18"/>
    <w:rsid w:val="00913DE9"/>
    <w:rsid w:val="00915698"/>
    <w:rsid w:val="00920535"/>
    <w:rsid w:val="00922A6D"/>
    <w:rsid w:val="009242EA"/>
    <w:rsid w:val="00925E5C"/>
    <w:rsid w:val="00927A0D"/>
    <w:rsid w:val="00927EF0"/>
    <w:rsid w:val="00933C83"/>
    <w:rsid w:val="00936542"/>
    <w:rsid w:val="009376EA"/>
    <w:rsid w:val="00937943"/>
    <w:rsid w:val="00940447"/>
    <w:rsid w:val="009408A6"/>
    <w:rsid w:val="00941C32"/>
    <w:rsid w:val="00944330"/>
    <w:rsid w:val="0094577A"/>
    <w:rsid w:val="009459C3"/>
    <w:rsid w:val="0095190E"/>
    <w:rsid w:val="00952158"/>
    <w:rsid w:val="00952ED0"/>
    <w:rsid w:val="009615F7"/>
    <w:rsid w:val="0096439D"/>
    <w:rsid w:val="009679F7"/>
    <w:rsid w:val="00972224"/>
    <w:rsid w:val="0098369B"/>
    <w:rsid w:val="00990086"/>
    <w:rsid w:val="009939EF"/>
    <w:rsid w:val="00994DC4"/>
    <w:rsid w:val="00995739"/>
    <w:rsid w:val="009A1012"/>
    <w:rsid w:val="009A10B6"/>
    <w:rsid w:val="009A2CBA"/>
    <w:rsid w:val="009B2454"/>
    <w:rsid w:val="009B472E"/>
    <w:rsid w:val="009B53D8"/>
    <w:rsid w:val="009B7504"/>
    <w:rsid w:val="009C4A92"/>
    <w:rsid w:val="009C6CE8"/>
    <w:rsid w:val="009C6F42"/>
    <w:rsid w:val="009D4AA9"/>
    <w:rsid w:val="009E1F25"/>
    <w:rsid w:val="009E2A70"/>
    <w:rsid w:val="009E489B"/>
    <w:rsid w:val="009F3168"/>
    <w:rsid w:val="009F3454"/>
    <w:rsid w:val="009F4440"/>
    <w:rsid w:val="00A0246B"/>
    <w:rsid w:val="00A03908"/>
    <w:rsid w:val="00A05724"/>
    <w:rsid w:val="00A11C23"/>
    <w:rsid w:val="00A17D94"/>
    <w:rsid w:val="00A2092B"/>
    <w:rsid w:val="00A23BA0"/>
    <w:rsid w:val="00A24F93"/>
    <w:rsid w:val="00A314FA"/>
    <w:rsid w:val="00A3799B"/>
    <w:rsid w:val="00A413D5"/>
    <w:rsid w:val="00A47BAD"/>
    <w:rsid w:val="00A47D5F"/>
    <w:rsid w:val="00A52BEC"/>
    <w:rsid w:val="00A57777"/>
    <w:rsid w:val="00A57E0F"/>
    <w:rsid w:val="00A82F6F"/>
    <w:rsid w:val="00A862A4"/>
    <w:rsid w:val="00A903BC"/>
    <w:rsid w:val="00A92BA2"/>
    <w:rsid w:val="00A9360E"/>
    <w:rsid w:val="00A973D9"/>
    <w:rsid w:val="00AA1C3B"/>
    <w:rsid w:val="00AA20DC"/>
    <w:rsid w:val="00AA2435"/>
    <w:rsid w:val="00AA49B9"/>
    <w:rsid w:val="00AB6124"/>
    <w:rsid w:val="00AB759F"/>
    <w:rsid w:val="00AB7A77"/>
    <w:rsid w:val="00AC25D8"/>
    <w:rsid w:val="00AC4FD0"/>
    <w:rsid w:val="00AC560D"/>
    <w:rsid w:val="00AD19E4"/>
    <w:rsid w:val="00AD319B"/>
    <w:rsid w:val="00AD3673"/>
    <w:rsid w:val="00AD4A48"/>
    <w:rsid w:val="00AE0C03"/>
    <w:rsid w:val="00AE40E2"/>
    <w:rsid w:val="00AE4928"/>
    <w:rsid w:val="00AE4CE1"/>
    <w:rsid w:val="00AF4CC5"/>
    <w:rsid w:val="00B02CB3"/>
    <w:rsid w:val="00B04E9C"/>
    <w:rsid w:val="00B102F7"/>
    <w:rsid w:val="00B11BE8"/>
    <w:rsid w:val="00B1354A"/>
    <w:rsid w:val="00B231A5"/>
    <w:rsid w:val="00B33726"/>
    <w:rsid w:val="00B34CB8"/>
    <w:rsid w:val="00B40CCF"/>
    <w:rsid w:val="00B43413"/>
    <w:rsid w:val="00B51F07"/>
    <w:rsid w:val="00B55AA9"/>
    <w:rsid w:val="00B576FB"/>
    <w:rsid w:val="00B605B3"/>
    <w:rsid w:val="00B6409D"/>
    <w:rsid w:val="00B65A78"/>
    <w:rsid w:val="00B70EED"/>
    <w:rsid w:val="00B7209C"/>
    <w:rsid w:val="00B754FE"/>
    <w:rsid w:val="00B75D21"/>
    <w:rsid w:val="00B82AFD"/>
    <w:rsid w:val="00B82F44"/>
    <w:rsid w:val="00B854DA"/>
    <w:rsid w:val="00B901A9"/>
    <w:rsid w:val="00B94BF6"/>
    <w:rsid w:val="00BA5910"/>
    <w:rsid w:val="00BB3CE8"/>
    <w:rsid w:val="00BB43FD"/>
    <w:rsid w:val="00BC3ED9"/>
    <w:rsid w:val="00BC5032"/>
    <w:rsid w:val="00BC59CC"/>
    <w:rsid w:val="00BD0579"/>
    <w:rsid w:val="00BD1D69"/>
    <w:rsid w:val="00BD45AE"/>
    <w:rsid w:val="00BE7523"/>
    <w:rsid w:val="00BE7E71"/>
    <w:rsid w:val="00BF06EC"/>
    <w:rsid w:val="00BF09D3"/>
    <w:rsid w:val="00BF5744"/>
    <w:rsid w:val="00BF5A88"/>
    <w:rsid w:val="00C00519"/>
    <w:rsid w:val="00C014A9"/>
    <w:rsid w:val="00C02420"/>
    <w:rsid w:val="00C04971"/>
    <w:rsid w:val="00C0615F"/>
    <w:rsid w:val="00C10CCD"/>
    <w:rsid w:val="00C10FB4"/>
    <w:rsid w:val="00C15A97"/>
    <w:rsid w:val="00C16757"/>
    <w:rsid w:val="00C17A11"/>
    <w:rsid w:val="00C25BD9"/>
    <w:rsid w:val="00C41104"/>
    <w:rsid w:val="00C41134"/>
    <w:rsid w:val="00C42CAD"/>
    <w:rsid w:val="00C4400E"/>
    <w:rsid w:val="00C44575"/>
    <w:rsid w:val="00C46B9E"/>
    <w:rsid w:val="00C527C3"/>
    <w:rsid w:val="00C552DE"/>
    <w:rsid w:val="00C55BAE"/>
    <w:rsid w:val="00C609C2"/>
    <w:rsid w:val="00C613B0"/>
    <w:rsid w:val="00C666BD"/>
    <w:rsid w:val="00C71560"/>
    <w:rsid w:val="00C80F74"/>
    <w:rsid w:val="00C84E54"/>
    <w:rsid w:val="00C8621F"/>
    <w:rsid w:val="00CA1872"/>
    <w:rsid w:val="00CA1D5A"/>
    <w:rsid w:val="00CA5910"/>
    <w:rsid w:val="00CA6A88"/>
    <w:rsid w:val="00CB0D76"/>
    <w:rsid w:val="00CB18D5"/>
    <w:rsid w:val="00CB393B"/>
    <w:rsid w:val="00CD02EB"/>
    <w:rsid w:val="00CF0F17"/>
    <w:rsid w:val="00CF2384"/>
    <w:rsid w:val="00CF2A48"/>
    <w:rsid w:val="00CF2DBD"/>
    <w:rsid w:val="00CF37B7"/>
    <w:rsid w:val="00CF7C33"/>
    <w:rsid w:val="00D025A9"/>
    <w:rsid w:val="00D11596"/>
    <w:rsid w:val="00D15049"/>
    <w:rsid w:val="00D17EF8"/>
    <w:rsid w:val="00D255AC"/>
    <w:rsid w:val="00D318BB"/>
    <w:rsid w:val="00D31E05"/>
    <w:rsid w:val="00D35E4B"/>
    <w:rsid w:val="00D42313"/>
    <w:rsid w:val="00D45220"/>
    <w:rsid w:val="00D51EF8"/>
    <w:rsid w:val="00D532DF"/>
    <w:rsid w:val="00D550EA"/>
    <w:rsid w:val="00D5683A"/>
    <w:rsid w:val="00D6075F"/>
    <w:rsid w:val="00D64A8A"/>
    <w:rsid w:val="00D64ACA"/>
    <w:rsid w:val="00D74A8F"/>
    <w:rsid w:val="00D76989"/>
    <w:rsid w:val="00D8155F"/>
    <w:rsid w:val="00D83830"/>
    <w:rsid w:val="00D8408A"/>
    <w:rsid w:val="00D85984"/>
    <w:rsid w:val="00D8641A"/>
    <w:rsid w:val="00D92897"/>
    <w:rsid w:val="00D9374F"/>
    <w:rsid w:val="00D96664"/>
    <w:rsid w:val="00D9771C"/>
    <w:rsid w:val="00D97BF8"/>
    <w:rsid w:val="00DA399C"/>
    <w:rsid w:val="00DA5E85"/>
    <w:rsid w:val="00DB01F6"/>
    <w:rsid w:val="00DB1B72"/>
    <w:rsid w:val="00DD18B8"/>
    <w:rsid w:val="00DD3ECB"/>
    <w:rsid w:val="00DD5BF9"/>
    <w:rsid w:val="00DD760C"/>
    <w:rsid w:val="00DE0FB7"/>
    <w:rsid w:val="00DE3DD6"/>
    <w:rsid w:val="00DE517B"/>
    <w:rsid w:val="00DE52F2"/>
    <w:rsid w:val="00DE5A5D"/>
    <w:rsid w:val="00DF072F"/>
    <w:rsid w:val="00DF0B84"/>
    <w:rsid w:val="00DF255F"/>
    <w:rsid w:val="00DF4C21"/>
    <w:rsid w:val="00E07E81"/>
    <w:rsid w:val="00E10E84"/>
    <w:rsid w:val="00E1125C"/>
    <w:rsid w:val="00E16D83"/>
    <w:rsid w:val="00E17AA2"/>
    <w:rsid w:val="00E267AB"/>
    <w:rsid w:val="00E27BF3"/>
    <w:rsid w:val="00E30C2C"/>
    <w:rsid w:val="00E311DC"/>
    <w:rsid w:val="00E31752"/>
    <w:rsid w:val="00E3534A"/>
    <w:rsid w:val="00E4082C"/>
    <w:rsid w:val="00E4444A"/>
    <w:rsid w:val="00E44DA1"/>
    <w:rsid w:val="00E576B4"/>
    <w:rsid w:val="00E64091"/>
    <w:rsid w:val="00E66470"/>
    <w:rsid w:val="00E67C64"/>
    <w:rsid w:val="00E71BDF"/>
    <w:rsid w:val="00E8267C"/>
    <w:rsid w:val="00E901CE"/>
    <w:rsid w:val="00E93A85"/>
    <w:rsid w:val="00E95DE1"/>
    <w:rsid w:val="00E97E26"/>
    <w:rsid w:val="00EA0931"/>
    <w:rsid w:val="00EA1B72"/>
    <w:rsid w:val="00EA3A1A"/>
    <w:rsid w:val="00EA49A8"/>
    <w:rsid w:val="00EA4F51"/>
    <w:rsid w:val="00EB0314"/>
    <w:rsid w:val="00EB2DD7"/>
    <w:rsid w:val="00EB56F6"/>
    <w:rsid w:val="00EB61E2"/>
    <w:rsid w:val="00EC0471"/>
    <w:rsid w:val="00EC3C0E"/>
    <w:rsid w:val="00EC539A"/>
    <w:rsid w:val="00ED39C3"/>
    <w:rsid w:val="00EE41E2"/>
    <w:rsid w:val="00EF1906"/>
    <w:rsid w:val="00EF1953"/>
    <w:rsid w:val="00EF2D9E"/>
    <w:rsid w:val="00EF30B1"/>
    <w:rsid w:val="00EF3BC8"/>
    <w:rsid w:val="00EF7F7D"/>
    <w:rsid w:val="00F003DC"/>
    <w:rsid w:val="00F00476"/>
    <w:rsid w:val="00F012AB"/>
    <w:rsid w:val="00F023FE"/>
    <w:rsid w:val="00F054FC"/>
    <w:rsid w:val="00F06E3E"/>
    <w:rsid w:val="00F07308"/>
    <w:rsid w:val="00F0773C"/>
    <w:rsid w:val="00F10ABD"/>
    <w:rsid w:val="00F10E90"/>
    <w:rsid w:val="00F1558B"/>
    <w:rsid w:val="00F15B84"/>
    <w:rsid w:val="00F16CBD"/>
    <w:rsid w:val="00F17078"/>
    <w:rsid w:val="00F21394"/>
    <w:rsid w:val="00F3234E"/>
    <w:rsid w:val="00F33F66"/>
    <w:rsid w:val="00F372CE"/>
    <w:rsid w:val="00F419B2"/>
    <w:rsid w:val="00F4233A"/>
    <w:rsid w:val="00F42B22"/>
    <w:rsid w:val="00F43272"/>
    <w:rsid w:val="00F45EBD"/>
    <w:rsid w:val="00F50B67"/>
    <w:rsid w:val="00F52831"/>
    <w:rsid w:val="00F53B73"/>
    <w:rsid w:val="00F53D3E"/>
    <w:rsid w:val="00F56C3E"/>
    <w:rsid w:val="00F60C95"/>
    <w:rsid w:val="00F61714"/>
    <w:rsid w:val="00F7015E"/>
    <w:rsid w:val="00F7297C"/>
    <w:rsid w:val="00F777FA"/>
    <w:rsid w:val="00F820A6"/>
    <w:rsid w:val="00F828AE"/>
    <w:rsid w:val="00F8540B"/>
    <w:rsid w:val="00F85ED6"/>
    <w:rsid w:val="00F91098"/>
    <w:rsid w:val="00F9398C"/>
    <w:rsid w:val="00F9535D"/>
    <w:rsid w:val="00F97BF7"/>
    <w:rsid w:val="00FA0D68"/>
    <w:rsid w:val="00FA2710"/>
    <w:rsid w:val="00FA5090"/>
    <w:rsid w:val="00FA7229"/>
    <w:rsid w:val="00FA7F61"/>
    <w:rsid w:val="00FB554A"/>
    <w:rsid w:val="00FB588A"/>
    <w:rsid w:val="00FC0694"/>
    <w:rsid w:val="00FC470A"/>
    <w:rsid w:val="00FC6F29"/>
    <w:rsid w:val="00FD1341"/>
    <w:rsid w:val="00FD2F47"/>
    <w:rsid w:val="00FE363C"/>
    <w:rsid w:val="00FE3AE2"/>
    <w:rsid w:val="00FF1E9C"/>
    <w:rsid w:val="00FF6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 w:type="paragraph" w:styleId="z-TopofForm">
    <w:name w:val="HTML Top of Form"/>
    <w:basedOn w:val="Normal"/>
    <w:next w:val="Normal"/>
    <w:link w:val="z-TopofFormChar"/>
    <w:hidden/>
    <w:uiPriority w:val="99"/>
    <w:semiHidden/>
    <w:unhideWhenUsed/>
    <w:rsid w:val="0091569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698"/>
    <w:rPr>
      <w:rFonts w:ascii="Arial" w:eastAsia="Times New Roman" w:hAnsi="Arial" w:cs="Arial"/>
      <w:vanish/>
      <w:sz w:val="16"/>
      <w:szCs w:val="16"/>
    </w:rPr>
  </w:style>
  <w:style w:type="character" w:customStyle="1" w:styleId="tiny1">
    <w:name w:val="tiny1"/>
    <w:basedOn w:val="DefaultParagraphFont"/>
    <w:rsid w:val="00915698"/>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rsid w:val="0091569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6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15698"/>
    <w:rPr>
      <w:rFonts w:ascii="Tahoma" w:hAnsi="Tahoma" w:cs="Tahoma"/>
      <w:sz w:val="16"/>
      <w:szCs w:val="16"/>
    </w:rPr>
  </w:style>
  <w:style w:type="character" w:customStyle="1" w:styleId="BalloonTextChar">
    <w:name w:val="Balloon Text Char"/>
    <w:basedOn w:val="DefaultParagraphFont"/>
    <w:link w:val="BalloonText"/>
    <w:uiPriority w:val="99"/>
    <w:semiHidden/>
    <w:rsid w:val="009156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885600364">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041393975">
      <w:bodyDiv w:val="1"/>
      <w:marLeft w:val="0"/>
      <w:marRight w:val="0"/>
      <w:marTop w:val="0"/>
      <w:marBottom w:val="0"/>
      <w:divBdr>
        <w:top w:val="none" w:sz="0" w:space="0" w:color="auto"/>
        <w:left w:val="none" w:sz="0" w:space="0" w:color="auto"/>
        <w:bottom w:val="none" w:sz="0" w:space="0" w:color="auto"/>
        <w:right w:val="none" w:sz="0" w:space="0" w:color="auto"/>
      </w:divBdr>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3349</Words>
  <Characters>18856</Characters>
  <Application>Microsoft Office Word</Application>
  <DocSecurity>0</DocSecurity>
  <Lines>550</Lines>
  <Paragraphs>179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22102</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2013-12-09T14:05:00Z</cp:lastPrinted>
  <dcterms:created xsi:type="dcterms:W3CDTF">2013-12-09T14:06:00Z</dcterms:created>
  <dcterms:modified xsi:type="dcterms:W3CDTF">2013-12-09T14:06:00Z</dcterms:modified>
  <cp:category> </cp:category>
  <cp:contentStatus> </cp:contentStatus>
</cp:coreProperties>
</file>