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Chairman</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October 14, 2013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color w:val="000000"/>
        </w:rPr>
        <w:t>(</w:t>
      </w:r>
      <w:proofErr w:type="gramStart"/>
      <w:r>
        <w:rPr>
          <w:rFonts w:ascii="Californian FB" w:hAnsi="Californian FB" w:cs="Georgia"/>
          <w:color w:val="000000"/>
        </w:rPr>
        <w:t>dial</w:t>
      </w:r>
      <w:proofErr w:type="gramEnd"/>
      <w:r>
        <w:rPr>
          <w:rFonts w:ascii="Californian FB" w:hAnsi="Californian FB" w:cs="Georgia"/>
          <w:color w:val="000000"/>
        </w:rPr>
        <w:t xml:space="preserve">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October 14, 2013 -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September 9, 2013 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tabs>
          <w:tab w:val="left" w:pos="990"/>
        </w:tabs>
        <w:autoSpaceDE w:val="0"/>
        <w:autoSpaceDN w:val="0"/>
        <w:adjustRightInd w:val="0"/>
        <w:rPr>
          <w:rFonts w:ascii="Californian FB" w:hAnsi="Californian FB" w:cs="Georgia"/>
          <w:color w:val="000000"/>
        </w:rPr>
      </w:pPr>
    </w:p>
    <w:p>
      <w:pPr>
        <w:tabs>
          <w:tab w:val="left" w:pos="990"/>
        </w:tabs>
        <w:autoSpaceDE w:val="0"/>
        <w:autoSpaceDN w:val="0"/>
        <w:adjustRightInd w:val="0"/>
        <w:rPr>
          <w:rFonts w:ascii="Californian FB" w:hAnsi="Californian FB" w:cs="Georgia"/>
          <w:color w:val="000000"/>
        </w:rPr>
      </w:pPr>
      <w:r>
        <w:rPr>
          <w:rFonts w:ascii="Californian FB" w:hAnsi="Californian FB" w:cs="Georgia"/>
          <w:color w:val="000000"/>
        </w:rPr>
        <w:t xml:space="preserve">2. </w:t>
      </w:r>
      <w:r>
        <w:rPr>
          <w:rFonts w:ascii="Californian FB" w:hAnsi="Californian FB" w:cs="Georgia"/>
          <w:color w:val="000000"/>
          <w:u w:val="single"/>
        </w:rPr>
        <w:t>CLC Roundtable in Sarasota</w:t>
      </w:r>
      <w:r>
        <w:rPr>
          <w:rFonts w:ascii="Californian FB" w:hAnsi="Californian FB" w:cs="Georgia"/>
          <w:color w:val="000000"/>
        </w:rPr>
        <w:t xml:space="preserve"> – Hardy Roberts</w:t>
      </w:r>
    </w:p>
    <w:p>
      <w:pPr>
        <w:tabs>
          <w:tab w:val="left" w:pos="990"/>
        </w:tabs>
        <w:autoSpaceDE w:val="0"/>
        <w:autoSpaceDN w:val="0"/>
        <w:adjustRightInd w:val="0"/>
        <w:ind w:left="990" w:hanging="27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3.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r>
        <w:rPr>
          <w:rFonts w:ascii="Californian FB" w:hAnsi="Californian FB"/>
          <w:b w:val="0"/>
          <w:i/>
          <w:u w:val="single"/>
        </w:rPr>
        <w:t>or</w:t>
      </w:r>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w:t>
      </w:r>
    </w:p>
    <w:p>
      <w:pPr>
        <w:pStyle w:val="Heading2"/>
        <w:spacing w:after="0"/>
        <w:rPr>
          <w:rFonts w:ascii="Californian FB" w:hAnsi="Californian FB"/>
          <w:b w:val="0"/>
        </w:rPr>
      </w:pPr>
      <w:r>
        <w:rPr>
          <w:rFonts w:ascii="Californian FB" w:hAnsi="Californian FB"/>
          <w:b w:val="0"/>
        </w:rPr>
        <w:t>Legislative Subcommittee – Scott Pence</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Publications Subcommittee – Sean Mickley</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 xml:space="preserve">Surety and Insurance – Ty Thompson, </w:t>
      </w:r>
    </w:p>
    <w:p>
      <w:pPr>
        <w:pStyle w:val="Heading2"/>
        <w:spacing w:after="0"/>
        <w:rPr>
          <w:rFonts w:ascii="Californian FB" w:hAnsi="Californian FB"/>
          <w:b w:val="0"/>
        </w:rPr>
      </w:pPr>
      <w:r>
        <w:rPr>
          <w:rFonts w:ascii="Californian FB" w:hAnsi="Californian FB"/>
          <w:b w:val="0"/>
        </w:rPr>
        <w:t>Tech Subcommittee – Brent Zimmerman</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 Lisa Colon-Heron</w:t>
      </w:r>
    </w:p>
    <w:p>
      <w:pPr>
        <w:rPr>
          <w:rFonts w:ascii="Californian FB" w:hAnsi="Californian FB" w:cs="Georgia"/>
          <w:color w:val="000000"/>
          <w:sz w:val="18"/>
        </w:rPr>
      </w:pPr>
    </w:p>
    <w:p>
      <w:pPr>
        <w:rPr>
          <w:color w:val="1F497D"/>
        </w:rPr>
      </w:pPr>
      <w:r>
        <w:rPr>
          <w:rFonts w:ascii="Californian FB" w:hAnsi="Californian FB" w:cs="Georgia"/>
          <w:color w:val="000000"/>
        </w:rPr>
        <w:t xml:space="preserve">4.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r>
      <w:proofErr w:type="gramStart"/>
      <w:r>
        <w:rPr>
          <w:rFonts w:ascii="Californian FB" w:hAnsi="Californian FB" w:cs="Georgia"/>
        </w:rPr>
        <w:t>Lan</w:t>
      </w:r>
      <w:proofErr w:type="gramEnd"/>
      <w:r>
        <w:rPr>
          <w:rFonts w:ascii="Californian FB" w:hAnsi="Californian FB" w:cs="Georgia"/>
        </w:rPr>
        <w:t xml:space="preserve"> White will speak regarding Florida’s Revised Arbitration Act</w:t>
      </w:r>
    </w:p>
    <w:p>
      <w:pPr>
        <w:rPr>
          <w:color w:val="1F497D"/>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5.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Monday, November 11, 2013,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edition numbers are authorized.</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6503-4F3D-4794-B7E8-17479B04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2</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4</cp:revision>
  <cp:lastPrinted>2013-07-07T14:17:00Z</cp:lastPrinted>
  <dcterms:created xsi:type="dcterms:W3CDTF">2013-10-14T01:21:00Z</dcterms:created>
  <dcterms:modified xsi:type="dcterms:W3CDTF">2013-10-14T01:27:00Z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