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F419B2">
        <w:t xml:space="preserve"> September</w:t>
      </w:r>
      <w:r w:rsidR="007D14A8">
        <w:t xml:space="preserve"> </w:t>
      </w:r>
      <w:r w:rsidR="00FA0D68">
        <w:t>2013</w:t>
      </w:r>
    </w:p>
    <w:p w:rsidR="006F4CE9" w:rsidRDefault="006F4CE9" w:rsidP="00D9771C">
      <w:pPr>
        <w:pStyle w:val="BlockText"/>
        <w:rPr>
          <w:b/>
          <w:u w:val="single"/>
        </w:rPr>
      </w:pPr>
    </w:p>
    <w:p w:rsidR="007F16BD" w:rsidRPr="007D14A8" w:rsidRDefault="009F4440" w:rsidP="007D14A8">
      <w:pPr>
        <w:pStyle w:val="BlockText"/>
        <w:rPr>
          <w:b/>
          <w:u w:val="single"/>
        </w:rPr>
      </w:pPr>
      <w:r>
        <w:rPr>
          <w:b/>
          <w:u w:val="single"/>
        </w:rPr>
        <w:t xml:space="preserve">State </w:t>
      </w:r>
      <w:r w:rsidR="00D9771C" w:rsidRPr="00D9771C">
        <w:rPr>
          <w:b/>
          <w:u w:val="single"/>
        </w:rPr>
        <w:t>Appellate Decisions:</w:t>
      </w:r>
    </w:p>
    <w:p w:rsidR="000F112D" w:rsidRDefault="000F112D" w:rsidP="007F16BD">
      <w:pPr>
        <w:pStyle w:val="BlockText"/>
      </w:pPr>
    </w:p>
    <w:p w:rsidR="00C44575" w:rsidRDefault="00F419B2" w:rsidP="00F419B2">
      <w:pPr>
        <w:pStyle w:val="BlockText"/>
      </w:pPr>
      <w:r>
        <w:tab/>
      </w:r>
      <w:r w:rsidRPr="00F419B2">
        <w:rPr>
          <w:i/>
          <w:u w:val="single"/>
        </w:rPr>
        <w:t xml:space="preserve">S2 Global, Inc, v. Tactical Operational Support Services, Inc., </w:t>
      </w:r>
      <w:r>
        <w:t xml:space="preserve">38 Fla. L. Weekly D1874a, Case No. 4D12-2662, filed September 4, 2013. </w:t>
      </w:r>
      <w:r w:rsidR="00C44575">
        <w:t>M</w:t>
      </w:r>
      <w:r>
        <w:t>otion to dism</w:t>
      </w:r>
      <w:r w:rsidR="00C44575">
        <w:t>i</w:t>
      </w:r>
      <w:r>
        <w:t xml:space="preserve">ss based on "forum non conveniens" </w:t>
      </w:r>
      <w:r w:rsidR="00C44575">
        <w:t>granted by the trial court was REVERSED  and REMANDED, because it was not timely served</w:t>
      </w:r>
      <w:r>
        <w:t xml:space="preserve"> in accordance with Florida Rule of Civil Procedure 1.061(g)</w:t>
      </w:r>
      <w:r w:rsidR="00C44575">
        <w:t xml:space="preserve">, </w:t>
      </w:r>
      <w:r>
        <w:t>within 60 days of service of process</w:t>
      </w:r>
      <w:r w:rsidR="00C44575">
        <w:t>. The appellate court found no excusable neglect in the filing of such a motion 20 months after service of the complaint.</w:t>
      </w:r>
    </w:p>
    <w:p w:rsidR="00C44575" w:rsidRDefault="00C44575" w:rsidP="00F419B2">
      <w:pPr>
        <w:pStyle w:val="BlockText"/>
      </w:pPr>
    </w:p>
    <w:p w:rsidR="009024B4" w:rsidRDefault="00C44575" w:rsidP="00F419B2">
      <w:pPr>
        <w:pStyle w:val="BlockText"/>
      </w:pPr>
      <w:r>
        <w:tab/>
      </w:r>
      <w:r w:rsidRPr="00C44575">
        <w:rPr>
          <w:i/>
          <w:u w:val="single"/>
        </w:rPr>
        <w:t>The Port Marina Condominium Association, Inc., v. Roof Services, Inc., et. al</w:t>
      </w:r>
      <w:r>
        <w:t xml:space="preserve">. 38 Fla. L. Weekly D1876a, Case No. 4D12-3693, filed September 4, 2013. GAF, a manufacturer of roofing materials, was dismissed by the trial court based on </w:t>
      </w:r>
      <w:r w:rsidRPr="00361628">
        <w:rPr>
          <w:i/>
          <w:u w:val="single"/>
        </w:rPr>
        <w:t>Harbor Landing Condominium Owners Ass'n  v. Harbor Landing, LLC</w:t>
      </w:r>
      <w:r>
        <w:t>, 78 So. 3d 120</w:t>
      </w:r>
      <w:r w:rsidR="00361628">
        <w:t xml:space="preserve"> (Fla. 1</w:t>
      </w:r>
      <w:r w:rsidR="00361628" w:rsidRPr="00361628">
        <w:rPr>
          <w:vertAlign w:val="superscript"/>
        </w:rPr>
        <w:t>st</w:t>
      </w:r>
      <w:r w:rsidR="00361628">
        <w:t xml:space="preserve"> DCA 2012), in determining that GAF was a manufacturer and not a "supplier" within the meaning of section 718.203(2) regarding implied warranty of fitness and </w:t>
      </w:r>
      <w:r w:rsidR="00915698">
        <w:t>merchantability</w:t>
      </w:r>
      <w:r w:rsidR="00361628">
        <w:t xml:space="preserve"> for condominiums. The dismissal was AFFIRMED but REMANDED to allow the association leave to amend to more clearly allege that GAF was a "supplier" within the meaning of the statute.</w:t>
      </w:r>
    </w:p>
    <w:p w:rsidR="00361628" w:rsidRDefault="00361628" w:rsidP="00F419B2">
      <w:pPr>
        <w:pStyle w:val="BlockText"/>
      </w:pPr>
    </w:p>
    <w:p w:rsidR="00361628" w:rsidRDefault="00361628" w:rsidP="00F419B2">
      <w:pPr>
        <w:pStyle w:val="BlockText"/>
      </w:pPr>
      <w:r>
        <w:tab/>
      </w:r>
      <w:r w:rsidRPr="00361628">
        <w:rPr>
          <w:i/>
          <w:u w:val="single"/>
        </w:rPr>
        <w:t>Liberty Mutual Fire Insurance Company v. Mi Windows &amp; Doors, Inc</w:t>
      </w:r>
      <w:r>
        <w:t xml:space="preserve">., 38 Fla. L. Weekly D1890a, Case No. 2D12-2793 and Case No. 2D2012-2800 (consolidated), filed September 4, 2013. Final summary judgment for $3.4 against insurer </w:t>
      </w:r>
      <w:r w:rsidR="001768AB">
        <w:t xml:space="preserve">in favor of door supplier (insured) </w:t>
      </w:r>
      <w:r>
        <w:t xml:space="preserve">was REVERSED based on the </w:t>
      </w:r>
      <w:r w:rsidR="001768AB">
        <w:t>trial court's erroneous finding that the "your products"</w:t>
      </w:r>
      <w:r>
        <w:t xml:space="preserve"> exclusion in the </w:t>
      </w:r>
      <w:r w:rsidR="001768AB">
        <w:t xml:space="preserve">commercial liability policy was inapplicable because the doors were materially changed by the addition of transoms. The appellate court distinguished </w:t>
      </w:r>
      <w:r w:rsidR="001768AB" w:rsidRPr="001768AB">
        <w:rPr>
          <w:i/>
          <w:u w:val="single"/>
        </w:rPr>
        <w:t>Imperial Casualty &amp; Indemnity Co. v. High Concrete Structures, Inc.</w:t>
      </w:r>
      <w:r w:rsidR="001768AB">
        <w:t>, 858 F. 2d 128 (3</w:t>
      </w:r>
      <w:r w:rsidR="001768AB" w:rsidRPr="001768AB">
        <w:rPr>
          <w:vertAlign w:val="superscript"/>
        </w:rPr>
        <w:t>rd</w:t>
      </w:r>
      <w:r w:rsidR="001768AB">
        <w:t xml:space="preserve"> Cir. 1988) and </w:t>
      </w:r>
      <w:r w:rsidR="001768AB" w:rsidRPr="001768AB">
        <w:rPr>
          <w:i/>
          <w:u w:val="single"/>
        </w:rPr>
        <w:t>Pittsburgh Plate Glass Co. v. Fidelity &amp; Casualty</w:t>
      </w:r>
      <w:r w:rsidR="001768AB">
        <w:rPr>
          <w:i/>
          <w:u w:val="single"/>
        </w:rPr>
        <w:t xml:space="preserve"> Company of New Yor</w:t>
      </w:r>
      <w:r w:rsidR="001768AB" w:rsidRPr="001768AB">
        <w:rPr>
          <w:i/>
          <w:u w:val="single"/>
        </w:rPr>
        <w:t>k</w:t>
      </w:r>
      <w:r w:rsidR="001768AB">
        <w:t>, 281 F. 2d 538 (3</w:t>
      </w:r>
      <w:r w:rsidR="001768AB" w:rsidRPr="001768AB">
        <w:rPr>
          <w:vertAlign w:val="superscript"/>
        </w:rPr>
        <w:t>rd</w:t>
      </w:r>
      <w:r w:rsidR="001768AB">
        <w:t xml:space="preserve"> Cir. 1960) in which products had been "made into something else," and found that the doors retained their identity after being hung on transoms.</w:t>
      </w:r>
    </w:p>
    <w:p w:rsidR="001768AB" w:rsidRDefault="001768AB" w:rsidP="00F419B2">
      <w:pPr>
        <w:pStyle w:val="BlockText"/>
      </w:pPr>
    </w:p>
    <w:p w:rsidR="00F419B2" w:rsidRDefault="001768AB" w:rsidP="00F419B2">
      <w:pPr>
        <w:pStyle w:val="BlockText"/>
      </w:pPr>
      <w:r>
        <w:tab/>
      </w:r>
      <w:r w:rsidR="002F61E3" w:rsidRPr="002F61E3">
        <w:rPr>
          <w:i/>
          <w:u w:val="single"/>
        </w:rPr>
        <w:t>Judy Ann Haynes v. Universal Property and Casualty Insurance Company,</w:t>
      </w:r>
      <w:r w:rsidR="002F61E3">
        <w:t xml:space="preserve"> 38 Fla. L. Weekly 1909c, Case No. 1D12-2548, filed September 9, 2013. Summary Judgment in favor of insurer under a replacement cost policy who refused payment of a repair claim for roof damages based on insured's failure to actually incur contractual obligation to make repairs was REVERSED and REMANDED, pursuant to section 627.7011(3) and the Florida Supreme Court's recent decision in </w:t>
      </w:r>
      <w:r w:rsidR="002F61E3" w:rsidRPr="002F61E3">
        <w:rPr>
          <w:i/>
          <w:u w:val="single"/>
        </w:rPr>
        <w:t>Trinidad v. Fla. Peninsula Ins. Co.,</w:t>
      </w:r>
      <w:r w:rsidR="002F61E3">
        <w:t xml:space="preserve"> 2013 WL 3333823, 38 Fla. L. Weekly S507 (Fla. July 3, 2013).</w:t>
      </w:r>
    </w:p>
    <w:p w:rsidR="00F419B2" w:rsidRDefault="00F419B2" w:rsidP="00F419B2">
      <w:pPr>
        <w:pStyle w:val="BlockText"/>
      </w:pPr>
    </w:p>
    <w:p w:rsidR="00F419B2" w:rsidRDefault="006E5368" w:rsidP="00F419B2">
      <w:pPr>
        <w:pStyle w:val="BlockText"/>
      </w:pPr>
      <w:r>
        <w:tab/>
      </w:r>
      <w:r w:rsidRPr="006E5368">
        <w:rPr>
          <w:i/>
          <w:u w:val="single"/>
        </w:rPr>
        <w:t>Munoz Hnor, S. A. v. Editgorial Televisa International S. A.,</w:t>
      </w:r>
      <w:r>
        <w:t xml:space="preserve"> 38 Fla. L. Weekly D1919c, Case No. 3D12-2688, filed September 11, 2013. In an action for breach of contract, fraud and negligent misrepresentation, the trial court entered summary judgment in favor of defendant under the economic loss rule. Appellate court applied </w:t>
      </w:r>
      <w:r w:rsidRPr="006E5368">
        <w:rPr>
          <w:i/>
          <w:u w:val="single"/>
        </w:rPr>
        <w:t>Tiara Condo. Ass'n v. March &amp; McLennan Cos</w:t>
      </w:r>
      <w:r>
        <w:t xml:space="preserve"> to REVERSE and REMAND since the economic loss rule only applies except to products liability.</w:t>
      </w:r>
    </w:p>
    <w:p w:rsidR="006E5368" w:rsidRDefault="006E5368" w:rsidP="00F419B2">
      <w:pPr>
        <w:pStyle w:val="BlockText"/>
      </w:pPr>
      <w:r>
        <w:lastRenderedPageBreak/>
        <w:tab/>
      </w:r>
      <w:r w:rsidR="00D11596" w:rsidRPr="00D11596">
        <w:rPr>
          <w:i/>
          <w:u w:val="single"/>
        </w:rPr>
        <w:t>Atlanta Capital Partners v. Quamtel</w:t>
      </w:r>
      <w:r w:rsidR="00D11596">
        <w:t>, 38 Fla. L. Weekly D1927a, Case No. 4D12-2566, filed September 11, 2013. Attorney fees were claimed under both the terms of the contract and under section 57.105</w:t>
      </w:r>
      <w:r w:rsidR="00162E5A">
        <w:t>, but the trial court denied fees only under the statute. Accordingly, the order denying fees was REVERSED and REMANED for a determination of entitlement to fees pursuant to the contract.</w:t>
      </w:r>
    </w:p>
    <w:p w:rsidR="00162E5A" w:rsidRDefault="00162E5A" w:rsidP="00F419B2">
      <w:pPr>
        <w:pStyle w:val="BlockText"/>
      </w:pPr>
    </w:p>
    <w:p w:rsidR="00162E5A" w:rsidRDefault="00162E5A" w:rsidP="00F419B2">
      <w:pPr>
        <w:pStyle w:val="BlockText"/>
      </w:pPr>
      <w:r>
        <w:tab/>
      </w:r>
      <w:r w:rsidRPr="00162E5A">
        <w:rPr>
          <w:i/>
          <w:u w:val="single"/>
        </w:rPr>
        <w:t>Billy Dee Williams, et. al. v. Algernot Lanier Washington, et. al</w:t>
      </w:r>
      <w:r>
        <w:t>, 2013 WL 4996-466 (Fla. App. 1 Dist), Case No. 1D12-2171, filed September 13, 2013.  After a trial and jury verdict, trial court entered summary judgment for opposing party. While finding that summary judgment was improper post trial, the case was REVERSED and REMANDED for reinstatement of the jury verdict based on a de novo review and finding that the evidence most favorable to the prevailing party supported the jury verdict.</w:t>
      </w:r>
    </w:p>
    <w:p w:rsidR="00162E5A" w:rsidRDefault="00162E5A" w:rsidP="00F419B2">
      <w:pPr>
        <w:pStyle w:val="BlockText"/>
      </w:pPr>
    </w:p>
    <w:p w:rsidR="00162E5A" w:rsidRDefault="00162E5A" w:rsidP="00F419B2">
      <w:pPr>
        <w:pStyle w:val="BlockText"/>
      </w:pPr>
      <w:r>
        <w:tab/>
      </w:r>
      <w:r w:rsidRPr="00162E5A">
        <w:rPr>
          <w:i/>
          <w:u w:val="single"/>
        </w:rPr>
        <w:t>Global Xtreme, Inc. v. Advanced Aircraft Center, Inc.,</w:t>
      </w:r>
      <w:r>
        <w:t xml:space="preserve"> Case No. 3D12-2220, filed September 25, 2013 (NOT FINAL). An award of attorney's fees pursuant to section 57.105 in the amount of $30,141 was REVERSED and REMANDED for lack of evidence that the attorney </w:t>
      </w:r>
      <w:r w:rsidR="007902F3">
        <w:t xml:space="preserve">actually </w:t>
      </w:r>
      <w:r>
        <w:t>serve</w:t>
      </w:r>
      <w:r w:rsidR="007902F3">
        <w:t>d</w:t>
      </w:r>
      <w:r>
        <w:t xml:space="preserve"> the Motion for Fees with the "safe harbor" 21-day notification</w:t>
      </w:r>
      <w:r w:rsidR="007902F3">
        <w:t xml:space="preserve"> letter.</w:t>
      </w:r>
    </w:p>
    <w:p w:rsidR="00F419B2" w:rsidRPr="00530CD6" w:rsidRDefault="00F419B2" w:rsidP="00F419B2">
      <w:pPr>
        <w:pStyle w:val="BlockText"/>
      </w:pP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2B09F1" w:rsidRDefault="002B09F1" w:rsidP="00D9771C">
      <w:pPr>
        <w:pStyle w:val="BlockText"/>
      </w:pPr>
    </w:p>
    <w:p w:rsidR="002B09F1" w:rsidRDefault="00DB01F6" w:rsidP="00DB01F6">
      <w:pPr>
        <w:pStyle w:val="BlockText"/>
        <w:ind w:firstLine="720"/>
      </w:pPr>
      <w:r>
        <w:t>(Nothing to report)</w:t>
      </w:r>
    </w:p>
    <w:p w:rsidR="002B09F1" w:rsidRDefault="002B09F1" w:rsidP="00D9771C">
      <w:pPr>
        <w:pStyle w:val="BlockText"/>
      </w:pPr>
    </w:p>
    <w:p w:rsidR="002B09F1" w:rsidRPr="002B09F1" w:rsidRDefault="002B09F1" w:rsidP="00D9771C">
      <w:pPr>
        <w:pStyle w:val="BlockText"/>
        <w:rPr>
          <w:b/>
          <w:u w:val="single"/>
        </w:rPr>
      </w:pPr>
      <w:r w:rsidRPr="002B09F1">
        <w:rPr>
          <w:b/>
          <w:u w:val="single"/>
        </w:rPr>
        <w:t>State Agency Actions:</w:t>
      </w:r>
    </w:p>
    <w:p w:rsidR="006A50B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0340FB" w:rsidRPr="000340FB" w:rsidRDefault="004E142A" w:rsidP="000340FB">
      <w:pPr>
        <w:pStyle w:val="BlockText"/>
        <w:numPr>
          <w:ilvl w:val="0"/>
          <w:numId w:val="32"/>
        </w:numPr>
        <w:rPr>
          <w:b/>
        </w:rPr>
      </w:pPr>
      <w:r w:rsidRPr="00936542">
        <w:rPr>
          <w:u w:val="single"/>
        </w:rPr>
        <w:t>Construction Industry Licensing Board</w:t>
      </w:r>
      <w:r>
        <w:t xml:space="preserve"> – Chapter 489, Part I, FS and Chapter 61G4 FAC: </w:t>
      </w:r>
    </w:p>
    <w:p w:rsidR="000340FB" w:rsidRDefault="000340FB" w:rsidP="000340FB">
      <w:pPr>
        <w:pStyle w:val="BlockText"/>
        <w:ind w:left="1080"/>
        <w:rPr>
          <w:b/>
        </w:rPr>
      </w:pPr>
    </w:p>
    <w:p w:rsidR="00DB01F6" w:rsidRPr="006A3B11" w:rsidRDefault="00E1125C" w:rsidP="006A3B11">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r w:rsidR="006A3B11">
        <w:rPr>
          <w:b/>
        </w:rPr>
        <w:t xml:space="preserve"> </w:t>
      </w:r>
      <w:r w:rsidR="006A3B11">
        <w:t xml:space="preserve">Rule 61G4-17.001 </w:t>
      </w:r>
      <w:r w:rsidR="002558FB">
        <w:t xml:space="preserve">will allow </w:t>
      </w:r>
      <w:r w:rsidR="006A3B11">
        <w:t>for increased fines and penalties for unlicensed activities and other disciplinary actions.</w:t>
      </w:r>
    </w:p>
    <w:p w:rsidR="00DB01F6" w:rsidRPr="00DB01F6" w:rsidRDefault="00DB01F6" w:rsidP="006A3B11">
      <w:pPr>
        <w:pStyle w:val="BlockText"/>
        <w:rPr>
          <w:b/>
        </w:rPr>
      </w:pPr>
    </w:p>
    <w:p w:rsidR="002558FB" w:rsidRDefault="004E142A" w:rsidP="002558FB">
      <w:pPr>
        <w:pStyle w:val="BlockText"/>
        <w:numPr>
          <w:ilvl w:val="1"/>
          <w:numId w:val="32"/>
        </w:numPr>
      </w:pPr>
      <w:r>
        <w:t>This board has received or disposed of the following Petitions for</w:t>
      </w:r>
      <w:r w:rsidR="00DB01F6">
        <w:t xml:space="preserve"> Declaratory Statement (if any):</w:t>
      </w:r>
    </w:p>
    <w:p w:rsidR="00321E89" w:rsidRDefault="00321E89" w:rsidP="00321E89">
      <w:pPr>
        <w:pStyle w:val="BlockText"/>
        <w:ind w:left="1440"/>
      </w:pPr>
    </w:p>
    <w:p w:rsidR="00DB01F6" w:rsidRDefault="006A3B11" w:rsidP="00DB01F6">
      <w:pPr>
        <w:pStyle w:val="BlockText"/>
        <w:numPr>
          <w:ilvl w:val="2"/>
          <w:numId w:val="32"/>
        </w:numPr>
      </w:pPr>
      <w:r>
        <w:t>Denied for insufficient evidence petition r</w:t>
      </w:r>
      <w:r w:rsidR="00A903BC">
        <w:t>eceived on May 21, 2013 from Florida Power &amp; Light,</w:t>
      </w:r>
      <w:r w:rsidR="00321E89">
        <w:t xml:space="preserve"> asking w</w:t>
      </w:r>
      <w:r w:rsidR="00A903BC">
        <w:t>hat licenses, if any, are required pursuant to s. 489.113 for the installation of: 1"-4" conduit without wiring; concrete reinforced foundations for substation equipment; substation ground grid; minor yard grading; spreading of year rock cover; below grade pre-fabricated concrete electrical raceways without wiring; and pre-fabricated foundation to support lighting and miscellaneous equipment.</w:t>
      </w:r>
    </w:p>
    <w:p w:rsidR="00A903BC" w:rsidRDefault="00A903BC" w:rsidP="00A903BC">
      <w:pPr>
        <w:pStyle w:val="BlockText"/>
        <w:ind w:left="2520"/>
      </w:pPr>
    </w:p>
    <w:p w:rsidR="006A3547" w:rsidRDefault="006A3B11" w:rsidP="00BD45AE">
      <w:pPr>
        <w:pStyle w:val="BlockText"/>
        <w:numPr>
          <w:ilvl w:val="2"/>
          <w:numId w:val="32"/>
        </w:numPr>
      </w:pPr>
      <w:r>
        <w:t>Denied for insufficient evidence petition r</w:t>
      </w:r>
      <w:r w:rsidR="00722DD1">
        <w:t xml:space="preserve">eceived on June 25, 2013 from Peter Dospel, </w:t>
      </w:r>
      <w:r w:rsidR="00A903BC">
        <w:t xml:space="preserve">seeking a determination of whether a general contractor </w:t>
      </w:r>
      <w:r w:rsidR="00722DD1">
        <w:t xml:space="preserve">can build a commercial swimming pool with a licensed plumber and electrician as subcontractors. </w:t>
      </w:r>
    </w:p>
    <w:p w:rsidR="006A3547" w:rsidRDefault="00722DD1" w:rsidP="00722DD1">
      <w:pPr>
        <w:pStyle w:val="BlockText"/>
        <w:numPr>
          <w:ilvl w:val="2"/>
          <w:numId w:val="32"/>
        </w:numPr>
      </w:pPr>
      <w:r>
        <w:lastRenderedPageBreak/>
        <w:t>Received September 9</w:t>
      </w:r>
      <w:r w:rsidR="006A3547">
        <w:t xml:space="preserve">, 2013 from </w:t>
      </w:r>
      <w:r>
        <w:t>Amramp of North and Central Florida</w:t>
      </w:r>
      <w:r w:rsidR="006A3547">
        <w:t xml:space="preserve">, </w:t>
      </w:r>
      <w:r>
        <w:t xml:space="preserve">seeking a determination if their wheelchair ramp system is exempt from licensing requirements. </w:t>
      </w:r>
    </w:p>
    <w:p w:rsidR="00722DD1" w:rsidRDefault="00722DD1" w:rsidP="00722DD1">
      <w:pPr>
        <w:pStyle w:val="BlockText"/>
        <w:ind w:left="2520"/>
      </w:pPr>
    </w:p>
    <w:p w:rsidR="00BD45AE" w:rsidRDefault="00722DD1" w:rsidP="00722DD1">
      <w:pPr>
        <w:pStyle w:val="BlockText"/>
        <w:numPr>
          <w:ilvl w:val="2"/>
          <w:numId w:val="32"/>
        </w:numPr>
      </w:pPr>
      <w:r>
        <w:t>Received on September 9, 2013 from the City of Tallahassee</w:t>
      </w:r>
      <w:r w:rsidR="006A3547">
        <w:t xml:space="preserve">, </w:t>
      </w:r>
      <w:r>
        <w:t xml:space="preserve">seeking a determination </w:t>
      </w:r>
      <w:r w:rsidR="006A3547">
        <w:t>regarding</w:t>
      </w:r>
      <w:r>
        <w:t xml:space="preserve"> the applicability of s. 489.103(9)</w:t>
      </w:r>
      <w:r w:rsidR="006A3547">
        <w:t xml:space="preserve"> </w:t>
      </w:r>
      <w:r>
        <w:t xml:space="preserve">and Rule 61G4-12.011(2) </w:t>
      </w:r>
      <w:r w:rsidR="006A3547">
        <w:t>as to whethe</w:t>
      </w:r>
      <w:r>
        <w:t>r a license is required to replace and repair an existing backflow preventer on a water service line where the labor and materials are less than $1,000 (i.e., "casual labor").</w:t>
      </w:r>
    </w:p>
    <w:p w:rsidR="00722DD1" w:rsidRDefault="00722DD1" w:rsidP="00722DD1">
      <w:pPr>
        <w:pStyle w:val="BlockText"/>
        <w:ind w:left="2520"/>
      </w:pPr>
    </w:p>
    <w:p w:rsidR="00321E89" w:rsidRDefault="00722DD1" w:rsidP="00BD45AE">
      <w:pPr>
        <w:pStyle w:val="BlockText"/>
        <w:numPr>
          <w:ilvl w:val="2"/>
          <w:numId w:val="32"/>
        </w:numPr>
      </w:pPr>
      <w:r>
        <w:t>Received on September 26, 20</w:t>
      </w:r>
      <w:r w:rsidR="00BD45AE">
        <w:t xml:space="preserve">13 from </w:t>
      </w:r>
      <w:r>
        <w:t>the City of Port St. Lucie seeking a determination</w:t>
      </w:r>
      <w:r w:rsidR="00E44DA1">
        <w:t xml:space="preserve"> of whether Miccosukee and Seminole Tribal members are exempt from licensure when contracting with consumers off the reservation to build a "chickee," and, if so, whether all persons performing the work or the owners be tribal members.</w:t>
      </w:r>
    </w:p>
    <w:p w:rsidR="00E44DA1" w:rsidRDefault="00E44DA1" w:rsidP="00E44DA1">
      <w:pPr>
        <w:pStyle w:val="BlockText"/>
        <w:ind w:left="2520"/>
      </w:pPr>
    </w:p>
    <w:p w:rsidR="00E44DA1" w:rsidRDefault="00E44DA1" w:rsidP="00E44DA1">
      <w:pPr>
        <w:pStyle w:val="BlockText"/>
        <w:numPr>
          <w:ilvl w:val="2"/>
          <w:numId w:val="32"/>
        </w:numPr>
      </w:pPr>
      <w:r>
        <w:t xml:space="preserve">Received on </w:t>
      </w:r>
      <w:r w:rsidR="003F395F">
        <w:t>September 25, 2013 from Centerline Utilities, Inc., seeking a determination of whether a licensed plumbing contractor is  required to install a commercial grease trap.</w:t>
      </w:r>
    </w:p>
    <w:p w:rsidR="002558FB" w:rsidRDefault="002558FB" w:rsidP="00321E89">
      <w:pPr>
        <w:pStyle w:val="BlockText"/>
      </w:pPr>
    </w:p>
    <w:p w:rsidR="00321E89" w:rsidRDefault="004E142A" w:rsidP="002558FB">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r w:rsidR="00E44DA1">
        <w:t xml:space="preserve">Received on </w:t>
      </w:r>
      <w:r w:rsidR="00480712">
        <w:t xml:space="preserve">August 16, 2013 from Nilo A. Hernandez, </w:t>
      </w:r>
      <w:r w:rsidR="003F395F">
        <w:t xml:space="preserve">seeking a permanent </w:t>
      </w:r>
      <w:r w:rsidR="00480712">
        <w:t xml:space="preserve">variance or </w:t>
      </w:r>
      <w:r w:rsidR="003F395F">
        <w:t xml:space="preserve">waiver of Rule 61G4-15.030, to grandfather </w:t>
      </w:r>
      <w:r w:rsidR="00480712">
        <w:t>his County Roofing Certificate.</w:t>
      </w:r>
    </w:p>
    <w:p w:rsidR="000C4772" w:rsidRDefault="000C4772" w:rsidP="00BD45AE">
      <w:pPr>
        <w:pStyle w:val="BlockText"/>
      </w:pPr>
    </w:p>
    <w:p w:rsidR="009E2A70" w:rsidRDefault="004E142A" w:rsidP="009E2A70">
      <w:pPr>
        <w:pStyle w:val="BlockText"/>
        <w:numPr>
          <w:ilvl w:val="0"/>
          <w:numId w:val="32"/>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BD45AE">
      <w:pPr>
        <w:pStyle w:val="BlockText"/>
        <w:numPr>
          <w:ilvl w:val="1"/>
          <w:numId w:val="32"/>
        </w:numPr>
      </w:pPr>
      <w:r>
        <w:t xml:space="preserve">This board has </w:t>
      </w:r>
      <w:r w:rsidR="00BE7523">
        <w:t>proposed</w:t>
      </w:r>
      <w:r>
        <w:t xml:space="preserve"> adopted, repealed or amended the following rules (if any): </w:t>
      </w:r>
    </w:p>
    <w:p w:rsidR="00480712" w:rsidRDefault="00480712" w:rsidP="00480712">
      <w:pPr>
        <w:pStyle w:val="BlockText"/>
        <w:ind w:left="1800"/>
      </w:pPr>
    </w:p>
    <w:p w:rsidR="00BD45AE" w:rsidRDefault="00BD45AE" w:rsidP="00480712">
      <w:pPr>
        <w:pStyle w:val="BlockText"/>
        <w:numPr>
          <w:ilvl w:val="2"/>
          <w:numId w:val="32"/>
        </w:numPr>
      </w:pPr>
      <w:r>
        <w:t>Rule 61G6-5.0036 to provide a rule concerning the certification of registered contractors</w:t>
      </w:r>
      <w:r w:rsidR="00480712">
        <w:t xml:space="preserve"> will become effective October 16, 2013.</w:t>
      </w:r>
    </w:p>
    <w:p w:rsidR="00480712" w:rsidRDefault="00480712" w:rsidP="00480712">
      <w:pPr>
        <w:pStyle w:val="BlockText"/>
        <w:ind w:left="2520"/>
      </w:pPr>
    </w:p>
    <w:p w:rsidR="00480712" w:rsidRDefault="00480712" w:rsidP="00480712">
      <w:pPr>
        <w:pStyle w:val="BlockText"/>
        <w:numPr>
          <w:ilvl w:val="2"/>
          <w:numId w:val="32"/>
        </w:numPr>
      </w:pPr>
      <w:r>
        <w:t>Rule 61G6-8.011 to provide clarification of fees required.</w:t>
      </w:r>
    </w:p>
    <w:p w:rsidR="00480712" w:rsidRDefault="00480712" w:rsidP="00480712">
      <w:pPr>
        <w:pStyle w:val="BlockText"/>
        <w:ind w:left="2520"/>
      </w:pPr>
    </w:p>
    <w:p w:rsidR="00480712" w:rsidRDefault="00480712" w:rsidP="00480712">
      <w:pPr>
        <w:pStyle w:val="BlockText"/>
        <w:numPr>
          <w:ilvl w:val="2"/>
          <w:numId w:val="32"/>
        </w:numPr>
      </w:pPr>
      <w:r>
        <w:t>Rule 61G6-12.001 amending the requirements for burglar alarm system agent training coursed, effective October 16, 2013.</w:t>
      </w:r>
    </w:p>
    <w:p w:rsidR="00480712" w:rsidRDefault="00480712" w:rsidP="00480712">
      <w:pPr>
        <w:pStyle w:val="BlockText"/>
        <w:ind w:left="2520"/>
      </w:pPr>
    </w:p>
    <w:p w:rsidR="00480712" w:rsidRDefault="00480712" w:rsidP="00480712">
      <w:pPr>
        <w:pStyle w:val="BlockText"/>
        <w:numPr>
          <w:ilvl w:val="2"/>
          <w:numId w:val="32"/>
        </w:numPr>
      </w:pPr>
      <w:r>
        <w:t>Rule 61G6-12.001 amending the requirements for fire alarm system agent training coursed, effective October 16, 2013.</w:t>
      </w:r>
    </w:p>
    <w:p w:rsidR="00BD45AE" w:rsidRDefault="00BD45AE" w:rsidP="00480712">
      <w:pPr>
        <w:pStyle w:val="BlockText"/>
      </w:pPr>
    </w:p>
    <w:p w:rsidR="004E142A" w:rsidRDefault="004E142A" w:rsidP="00BD45AE">
      <w:pPr>
        <w:pStyle w:val="BlockText"/>
        <w:numPr>
          <w:ilvl w:val="1"/>
          <w:numId w:val="32"/>
        </w:numPr>
      </w:pPr>
      <w:r>
        <w:t xml:space="preserve">This board has received or disposed of the following Petitions for </w:t>
      </w:r>
      <w:r w:rsidR="00480712">
        <w:t>Declaratory Statement (if any):</w:t>
      </w:r>
    </w:p>
    <w:p w:rsidR="00480712" w:rsidRDefault="00480712" w:rsidP="00480712">
      <w:pPr>
        <w:pStyle w:val="BlockText"/>
        <w:ind w:left="1800"/>
      </w:pPr>
    </w:p>
    <w:p w:rsidR="00480712" w:rsidRDefault="00480712" w:rsidP="00480712">
      <w:pPr>
        <w:pStyle w:val="BlockText"/>
        <w:numPr>
          <w:ilvl w:val="2"/>
          <w:numId w:val="32"/>
        </w:numPr>
      </w:pPr>
      <w:r>
        <w:t>Received August 20, 2013 from National Conductor Constructors, seeking a determination if section 489.503(4) requires a license to construct electrical substations, bus and wire installation, 6turbine I</w:t>
      </w:r>
      <w:r w:rsidR="00AC4FD0">
        <w:t>SO phase installation maintenance and inspection</w:t>
      </w:r>
      <w:r>
        <w:t xml:space="preserve">. </w:t>
      </w:r>
    </w:p>
    <w:p w:rsidR="00480712" w:rsidRDefault="00480712" w:rsidP="00AC4FD0">
      <w:pPr>
        <w:pStyle w:val="BlockText"/>
        <w:ind w:left="2340"/>
      </w:pPr>
    </w:p>
    <w:p w:rsidR="00480712" w:rsidRDefault="00480712" w:rsidP="00AC4FD0">
      <w:pPr>
        <w:pStyle w:val="BlockText"/>
        <w:numPr>
          <w:ilvl w:val="2"/>
          <w:numId w:val="32"/>
        </w:numPr>
      </w:pPr>
      <w:r>
        <w:t xml:space="preserve">Received </w:t>
      </w:r>
      <w:r w:rsidR="00AC4FD0">
        <w:t>September 24</w:t>
      </w:r>
      <w:r>
        <w:t xml:space="preserve">, 2013 from </w:t>
      </w:r>
      <w:r w:rsidR="00AC4FD0">
        <w:t>Vergona-Bowersox Electric, se</w:t>
      </w:r>
      <w:r>
        <w:t xml:space="preserve">eking a determination if </w:t>
      </w:r>
      <w:r w:rsidR="00AC4FD0">
        <w:t>sections 489.505(12) and 489.538 require a license too perform the concrete and structural work for supporting solar panels.</w:t>
      </w:r>
    </w:p>
    <w:p w:rsidR="00A82F6F" w:rsidRDefault="00A82F6F" w:rsidP="00A82F6F">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BD45AE">
        <w:t>riance or Waiver (if any):</w:t>
      </w:r>
      <w:r w:rsidR="00AC4FD0">
        <w:t xml:space="preserve"> None to report.</w:t>
      </w:r>
    </w:p>
    <w:p w:rsidR="004E142A" w:rsidRDefault="004E142A" w:rsidP="001E3281">
      <w:pPr>
        <w:pStyle w:val="BlockText"/>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EF30B1" w:rsidRDefault="00E1125C" w:rsidP="004E142A">
      <w:pPr>
        <w:pStyle w:val="BlockText"/>
        <w:numPr>
          <w:ilvl w:val="1"/>
          <w:numId w:val="32"/>
        </w:numPr>
      </w:pPr>
      <w:r>
        <w:t>This board has proposed, adopted, repealed or amended the following rules (if any</w:t>
      </w:r>
      <w:r w:rsidR="00920535">
        <w:t xml:space="preserve">): </w:t>
      </w:r>
    </w:p>
    <w:p w:rsidR="00AC4FD0" w:rsidRDefault="00AC4FD0" w:rsidP="00AC4FD0">
      <w:pPr>
        <w:pStyle w:val="BlockText"/>
        <w:ind w:left="1800"/>
      </w:pPr>
    </w:p>
    <w:p w:rsidR="00AC4FD0" w:rsidRDefault="00AC4FD0" w:rsidP="00AC4FD0">
      <w:pPr>
        <w:pStyle w:val="BlockText"/>
        <w:numPr>
          <w:ilvl w:val="2"/>
          <w:numId w:val="32"/>
        </w:numPr>
      </w:pPr>
      <w:r>
        <w:t>Rules 61G1-11.013 and 11.014 regarding definitions and criteria for investigators and consultants.</w:t>
      </w:r>
    </w:p>
    <w:p w:rsidR="00AC4FD0" w:rsidRDefault="00AC4FD0" w:rsidP="00AC4FD0">
      <w:pPr>
        <w:pStyle w:val="BlockText"/>
        <w:ind w:left="2520"/>
      </w:pPr>
    </w:p>
    <w:p w:rsidR="00AC4FD0" w:rsidRDefault="00AC4FD0" w:rsidP="00AC4FD0">
      <w:pPr>
        <w:pStyle w:val="BlockText"/>
        <w:numPr>
          <w:ilvl w:val="2"/>
          <w:numId w:val="32"/>
        </w:numPr>
      </w:pPr>
      <w:r>
        <w:t>Rules 61G1-16.001, 16.002 and 16.005 regarding seals.</w:t>
      </w:r>
    </w:p>
    <w:p w:rsidR="00AC4FD0" w:rsidRDefault="00AC4FD0" w:rsidP="00AC4FD0">
      <w:pPr>
        <w:pStyle w:val="BlockText"/>
        <w:ind w:left="2520"/>
      </w:pPr>
    </w:p>
    <w:p w:rsidR="00AC4FD0" w:rsidRDefault="00AC4FD0" w:rsidP="00AC4FD0">
      <w:pPr>
        <w:pStyle w:val="BlockText"/>
        <w:numPr>
          <w:ilvl w:val="2"/>
          <w:numId w:val="32"/>
        </w:numPr>
      </w:pPr>
      <w:r>
        <w:t>Rule 61G1-22.003 regarding educational requirements for Interior Designers, effective October 20, 2013.</w:t>
      </w:r>
    </w:p>
    <w:p w:rsidR="00AC4FD0" w:rsidRDefault="00AC4FD0" w:rsidP="00AC4FD0">
      <w:pPr>
        <w:pStyle w:val="BlockText"/>
        <w:ind w:left="2520"/>
      </w:pPr>
    </w:p>
    <w:p w:rsidR="00AC4FD0" w:rsidRDefault="00AC4FD0" w:rsidP="00AC4FD0">
      <w:pPr>
        <w:pStyle w:val="BlockText"/>
        <w:numPr>
          <w:ilvl w:val="2"/>
          <w:numId w:val="32"/>
        </w:numPr>
      </w:pPr>
      <w:r>
        <w:t>Rule 61G1-11.016 regarding he Interior Design committee is repealed effective October 24, 2013.</w:t>
      </w:r>
    </w:p>
    <w:p w:rsidR="004E142A" w:rsidRDefault="004E142A" w:rsidP="00273404">
      <w:pPr>
        <w:pStyle w:val="BlockText"/>
      </w:pP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4E142A">
      <w:pPr>
        <w:ind w:left="216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4204AE" w:rsidRDefault="00E1125C" w:rsidP="000340FB">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4E2A5D">
        <w:t>:</w:t>
      </w:r>
      <w:r w:rsidR="00AC4FD0">
        <w:t xml:space="preserve"> </w:t>
      </w:r>
    </w:p>
    <w:p w:rsidR="00AC4FD0" w:rsidRDefault="00AC4FD0" w:rsidP="00AC4FD0">
      <w:pPr>
        <w:pStyle w:val="BlockText"/>
        <w:numPr>
          <w:ilvl w:val="2"/>
          <w:numId w:val="32"/>
        </w:numPr>
      </w:pPr>
      <w:r>
        <w:t>Rule 61G15-19.0071 regarding use of citations.</w:t>
      </w:r>
    </w:p>
    <w:p w:rsidR="003C4C6F" w:rsidRDefault="003C4C6F" w:rsidP="003C4C6F">
      <w:pPr>
        <w:pStyle w:val="BlockText"/>
        <w:ind w:left="2520"/>
      </w:pPr>
    </w:p>
    <w:p w:rsidR="00AC4FD0" w:rsidRDefault="00AC4FD0" w:rsidP="00AC4FD0">
      <w:pPr>
        <w:pStyle w:val="BlockText"/>
        <w:numPr>
          <w:ilvl w:val="2"/>
          <w:numId w:val="32"/>
        </w:numPr>
      </w:pPr>
      <w:r>
        <w:t>Rule 61G15-21.001 regarding designation of written exam.</w:t>
      </w:r>
    </w:p>
    <w:p w:rsidR="003C4C6F" w:rsidRDefault="003C4C6F" w:rsidP="003C4C6F">
      <w:pPr>
        <w:pStyle w:val="BlockText"/>
        <w:ind w:left="2520"/>
      </w:pPr>
    </w:p>
    <w:p w:rsidR="00AC4FD0" w:rsidRDefault="003C4C6F" w:rsidP="00AC4FD0">
      <w:pPr>
        <w:pStyle w:val="BlockText"/>
        <w:numPr>
          <w:ilvl w:val="2"/>
          <w:numId w:val="32"/>
        </w:numPr>
      </w:pPr>
      <w:r>
        <w:t>Rule 61G15-22.001 regarding changes to continuing education requirements was WITHDRAWN.</w:t>
      </w:r>
    </w:p>
    <w:p w:rsidR="003C4C6F" w:rsidRDefault="003C4C6F" w:rsidP="003C4C6F">
      <w:pPr>
        <w:pStyle w:val="BlockText"/>
        <w:ind w:left="2520"/>
      </w:pPr>
    </w:p>
    <w:p w:rsidR="003C4C6F" w:rsidRDefault="003C4C6F" w:rsidP="00AC4FD0">
      <w:pPr>
        <w:pStyle w:val="BlockText"/>
        <w:numPr>
          <w:ilvl w:val="2"/>
          <w:numId w:val="32"/>
        </w:numPr>
      </w:pPr>
      <w:r>
        <w:t xml:space="preserve">Rule 61G15-23.003 regarding procedures for use of electronic sealing </w:t>
      </w:r>
    </w:p>
    <w:p w:rsidR="004E2A5D" w:rsidRDefault="004E2A5D" w:rsidP="004E2A5D">
      <w:pPr>
        <w:pStyle w:val="BlockText"/>
        <w:ind w:left="1800"/>
      </w:pPr>
    </w:p>
    <w:p w:rsidR="00FC470A" w:rsidRDefault="009E2A70" w:rsidP="00FC470A">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FC470A" w:rsidRDefault="00FC470A" w:rsidP="00FC470A">
      <w:pPr>
        <w:pStyle w:val="BlockText"/>
        <w:ind w:left="1800"/>
      </w:pPr>
    </w:p>
    <w:p w:rsidR="004E2A5D" w:rsidRDefault="009E2A70" w:rsidP="00FC470A">
      <w:pPr>
        <w:pStyle w:val="BlockText"/>
        <w:numPr>
          <w:ilvl w:val="1"/>
          <w:numId w:val="32"/>
        </w:numPr>
      </w:pPr>
      <w:r>
        <w:t>This board has received or disposed of the following Petitions for Va</w:t>
      </w:r>
      <w:r w:rsidR="00920535">
        <w:t>riance or Waiver (if any):</w:t>
      </w:r>
      <w:r w:rsidR="004E2A5D">
        <w:t xml:space="preserve"> None noticed.</w:t>
      </w:r>
    </w:p>
    <w:p w:rsidR="004E142A" w:rsidRDefault="004E142A" w:rsidP="004E2A5D">
      <w:pPr>
        <w:pStyle w:val="BlockText"/>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4204AE">
        <w:t xml:space="preserve"> None</w:t>
      </w:r>
      <w:r w:rsidR="00920535">
        <w:t xml:space="preserve"> noticed</w:t>
      </w:r>
      <w:r w:rsidR="004204AE">
        <w:t>.</w:t>
      </w:r>
    </w:p>
    <w:p w:rsidR="004E142A" w:rsidRDefault="004E142A" w:rsidP="004E142A">
      <w:pPr>
        <w:pStyle w:val="BlockText"/>
      </w:pPr>
    </w:p>
    <w:p w:rsidR="004E2A5D" w:rsidRDefault="004E142A" w:rsidP="004E142A">
      <w:pPr>
        <w:pStyle w:val="BlockText"/>
        <w:numPr>
          <w:ilvl w:val="1"/>
          <w:numId w:val="32"/>
        </w:numPr>
      </w:pPr>
      <w:r>
        <w:t>This board has received or disposed of the following Petitions for Declaratory Statement (if any</w:t>
      </w:r>
      <w:r w:rsidR="004E2A5D">
        <w:t>): None noticed.</w:t>
      </w:r>
    </w:p>
    <w:p w:rsidR="004E2A5D" w:rsidRDefault="004E2A5D" w:rsidP="004E2A5D">
      <w:pPr>
        <w:pStyle w:val="BlockText"/>
        <w:ind w:left="1800"/>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B40CCF" w:rsidRDefault="00E1125C" w:rsidP="003C4C6F">
      <w:pPr>
        <w:pStyle w:val="BlockText"/>
        <w:numPr>
          <w:ilvl w:val="1"/>
          <w:numId w:val="32"/>
        </w:numPr>
      </w:pPr>
      <w:r>
        <w:t>This board has proposed, adopted, repealed or amended the following rules (if any):</w:t>
      </w:r>
      <w:r w:rsidR="00920535">
        <w:t xml:space="preserve"> </w:t>
      </w:r>
      <w:r w:rsidR="00B40CCF">
        <w:t xml:space="preserve">Rule 61G20-1.001, adopting annual "glitch" amendments to the 2010 Florida Building Code, will be considered by the Florida Building Commission at a </w:t>
      </w:r>
      <w:r w:rsidR="00B40CCF" w:rsidRPr="003C4C6F">
        <w:rPr>
          <w:b/>
        </w:rPr>
        <w:t>public workshop</w:t>
      </w:r>
      <w:r w:rsidR="00B40CCF">
        <w:t xml:space="preserve"> to be held on August 22, 2013, beginning at 8:30 at the Boca Raton Marriott at Boca Center, 5150 ?Town Center Circle, Boca Raton, Florida.</w:t>
      </w:r>
    </w:p>
    <w:p w:rsidR="004E2A5D" w:rsidRDefault="004E2A5D" w:rsidP="003C4C6F">
      <w:pPr>
        <w:pStyle w:val="BlockText"/>
      </w:pPr>
    </w:p>
    <w:p w:rsidR="0017187B" w:rsidRDefault="00E1125C" w:rsidP="0017187B">
      <w:pPr>
        <w:pStyle w:val="BlockText"/>
        <w:numPr>
          <w:ilvl w:val="1"/>
          <w:numId w:val="32"/>
        </w:numPr>
      </w:pPr>
      <w:r>
        <w:t xml:space="preserve">This board has received or disposed of the following Petitions for </w:t>
      </w:r>
      <w:r w:rsidR="004E2A5D">
        <w:t xml:space="preserve">Declaratory Statement: </w:t>
      </w:r>
      <w:r w:rsidR="003C4C6F">
        <w:t>Received on August 5, 2013, from Allen Gezelman, regarding the use of solar energy utilization equipment tested and labeled by the Florida Solar Energy Center.</w:t>
      </w:r>
    </w:p>
    <w:p w:rsidR="0017187B" w:rsidRDefault="0017187B" w:rsidP="0017187B">
      <w:pPr>
        <w:pStyle w:val="BlockText"/>
        <w:ind w:left="1800"/>
      </w:pPr>
    </w:p>
    <w:p w:rsidR="000340FB" w:rsidRDefault="00941C32" w:rsidP="0017187B">
      <w:pPr>
        <w:pStyle w:val="BlockText"/>
        <w:ind w:firstLine="720"/>
      </w:pPr>
      <w:r>
        <w:t xml:space="preserve">8. </w:t>
      </w:r>
      <w:r w:rsidRPr="00941C32">
        <w:rPr>
          <w:u w:val="single"/>
        </w:rPr>
        <w:t>DBPR/Home Inspectors:</w:t>
      </w:r>
      <w:r>
        <w:t xml:space="preserve"> </w:t>
      </w:r>
      <w:r w:rsidR="004E2A5D">
        <w:t>Nothing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July 1, 2013, will (unless vetoed) 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8476AE" w:rsidP="004E142A">
      <w:pPr>
        <w:pStyle w:val="BlockText"/>
        <w:ind w:left="720"/>
        <w:rPr>
          <w:b/>
        </w:rPr>
      </w:pPr>
      <w:r>
        <w:t xml:space="preserve">Reminder: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r w:rsidR="008476AE">
        <w:t>: Nothing to report.</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8157CF" w:rsidP="008F58B8">
      <w:pPr>
        <w:pStyle w:val="BlockText"/>
        <w:ind w:left="1080"/>
        <w:rPr>
          <w:b/>
          <w:i/>
          <w:u w:val="single"/>
        </w:rPr>
      </w:pPr>
      <w:r>
        <w:rPr>
          <w:b/>
          <w:i/>
          <w:u w:val="single"/>
        </w:rPr>
        <w:t>LEGISLATIVE</w:t>
      </w:r>
      <w:r w:rsidR="004E142A" w:rsidRPr="003C265E">
        <w:rPr>
          <w:b/>
          <w:i/>
          <w:u w:val="single"/>
        </w:rPr>
        <w:t xml:space="preserve"> UNDATE: Out-of-state applicants who do NOT have </w:t>
      </w:r>
      <w:r>
        <w:rPr>
          <w:b/>
          <w:i/>
          <w:u w:val="single"/>
        </w:rPr>
        <w:t>"</w:t>
      </w:r>
      <w:r w:rsidR="004E142A" w:rsidRPr="003C265E">
        <w:rPr>
          <w:b/>
          <w:i/>
          <w:u w:val="single"/>
        </w:rPr>
        <w:t>Florida</w:t>
      </w:r>
      <w:r>
        <w:rPr>
          <w:b/>
          <w:i/>
          <w:u w:val="single"/>
        </w:rPr>
        <w:t>"</w:t>
      </w:r>
      <w:r w:rsidR="004E142A" w:rsidRPr="003C265E">
        <w:rPr>
          <w:b/>
          <w:i/>
          <w:u w:val="single"/>
        </w:rPr>
        <w:t xml:space="preserve"> driver’s licen</w:t>
      </w:r>
      <w:r>
        <w:rPr>
          <w:b/>
          <w:i/>
          <w:u w:val="single"/>
        </w:rPr>
        <w:t>se or identification card have been required</w:t>
      </w:r>
      <w:r w:rsidR="004E142A" w:rsidRPr="003C265E">
        <w:rPr>
          <w:b/>
          <w:i/>
          <w:u w:val="single"/>
        </w:rPr>
        <w:t xml:space="preserve"> submit their applications in hard copy for processing. This is a “glitch” </w:t>
      </w:r>
      <w:r>
        <w:rPr>
          <w:b/>
          <w:i/>
          <w:u w:val="single"/>
        </w:rPr>
        <w:t>from the statutory changes in 2012, which has been corrected in Section 2 of House Bill 563, effective July 1, 2013, if not vetoed.</w:t>
      </w:r>
    </w:p>
    <w:p w:rsidR="004E142A" w:rsidRDefault="004E142A" w:rsidP="004E142A">
      <w:pPr>
        <w:pStyle w:val="BlockText"/>
        <w:ind w:left="720"/>
        <w:rPr>
          <w:b/>
        </w:rPr>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476AE" w:rsidRDefault="0001260C" w:rsidP="0001260C">
      <w:pPr>
        <w:pStyle w:val="BlockText"/>
        <w:ind w:left="360"/>
      </w:pPr>
      <w:r>
        <w:t xml:space="preserve">3. Office of State Fire Marshal - Chapter 633, Florida Statutes and Chapter 69A, F.C.A.: </w:t>
      </w:r>
    </w:p>
    <w:p w:rsidR="008476AE" w:rsidRDefault="008476AE" w:rsidP="0001260C">
      <w:pPr>
        <w:pStyle w:val="BlockText"/>
        <w:ind w:left="360"/>
      </w:pPr>
    </w:p>
    <w:p w:rsidR="0001260C" w:rsidRDefault="008476AE" w:rsidP="0001260C">
      <w:pPr>
        <w:pStyle w:val="BlockText"/>
        <w:ind w:left="360"/>
      </w:pPr>
      <w:r>
        <w:t xml:space="preserve">Reminder: </w:t>
      </w:r>
      <w:r w:rsidR="0001260C">
        <w:t>Rule 69A-60.003, amended effective May 1, 2013, adopts the NPR 1, the Fire Code, Florida 2009 edition (as amended 3/2013 to add Section 18.4.1.3 to Section 18.4 - Fire Flow Requirements for Buildings).</w:t>
      </w:r>
    </w:p>
    <w:p w:rsidR="008476AE" w:rsidRDefault="008476AE" w:rsidP="0001260C">
      <w:pPr>
        <w:pStyle w:val="BlockText"/>
        <w:ind w:left="360"/>
      </w:pPr>
    </w:p>
    <w:p w:rsidR="0001260C" w:rsidRDefault="00757661" w:rsidP="00757661">
      <w:pPr>
        <w:pStyle w:val="BlockText"/>
        <w:ind w:left="360"/>
      </w:pPr>
      <w:r>
        <w:rPr>
          <w:u w:val="single"/>
        </w:rPr>
        <w:t>Note:</w:t>
      </w:r>
      <w:r>
        <w:t xml:space="preserve"> Section 1 of Senate Bill 1122, effective July 1, 2013 unless vetoed, creates a new section 633.0215(6)(b) which EXMEPTS certain structures from application of the Florida Fire Prevention Code.</w:t>
      </w:r>
    </w:p>
    <w:p w:rsidR="00940447" w:rsidRPr="00797252" w:rsidRDefault="00940447" w:rsidP="00D9771C">
      <w:pPr>
        <w:pStyle w:val="BlockText"/>
      </w:pPr>
    </w:p>
    <w:p w:rsidR="00530892"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 No new bills filed at the present time, but the Senate rules required all "Claims" bills to be filed by August 1</w:t>
      </w:r>
      <w:r w:rsidR="008476AE" w:rsidRPr="008476AE">
        <w:rPr>
          <w:vertAlign w:val="superscript"/>
        </w:rPr>
        <w:t>st</w:t>
      </w:r>
      <w:r w:rsidR="008476AE">
        <w:t xml:space="preserve"> of each year prior to the year in which those bills will be taken up in session.</w:t>
      </w:r>
    </w:p>
    <w:p w:rsidR="008476AE" w:rsidRDefault="008476AE" w:rsidP="008476AE">
      <w:pPr>
        <w:pStyle w:val="BlockText"/>
      </w:pPr>
    </w:p>
    <w:tbl>
      <w:tblPr>
        <w:tblW w:w="4900" w:type="pct"/>
        <w:tblCellSpacing w:w="0" w:type="dxa"/>
        <w:tblCellMar>
          <w:top w:w="10" w:type="dxa"/>
          <w:left w:w="10" w:type="dxa"/>
          <w:bottom w:w="10" w:type="dxa"/>
          <w:right w:w="10" w:type="dxa"/>
        </w:tblCellMar>
        <w:tblLook w:val="04A0"/>
      </w:tblPr>
      <w:tblGrid>
        <w:gridCol w:w="886"/>
        <w:gridCol w:w="4888"/>
        <w:gridCol w:w="1885"/>
        <w:gridCol w:w="889"/>
        <w:gridCol w:w="370"/>
        <w:gridCol w:w="46"/>
        <w:gridCol w:w="280"/>
        <w:gridCol w:w="250"/>
      </w:tblGrid>
      <w:tr w:rsidR="00915698" w:rsidRPr="00915698" w:rsidTr="00915698">
        <w:trPr>
          <w:tblCellSpacing w:w="0" w:type="dxa"/>
        </w:trPr>
        <w:tc>
          <w:tcPr>
            <w:tcW w:w="467" w:type="pct"/>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color w:val="000000"/>
                <w:sz w:val="20"/>
                <w:szCs w:val="20"/>
              </w:rPr>
            </w:pPr>
            <w:r w:rsidRPr="00915698">
              <w:rPr>
                <w:rFonts w:ascii="Arial" w:hAnsi="Arial" w:cs="Arial"/>
                <w:b/>
                <w:bCs/>
                <w:color w:val="000000"/>
                <w:sz w:val="20"/>
                <w:szCs w:val="20"/>
              </w:rPr>
              <w:t>Num</w:t>
            </w:r>
          </w:p>
        </w:tc>
        <w:tc>
          <w:tcPr>
            <w:tcW w:w="2574" w:type="pct"/>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color w:val="000000"/>
                <w:sz w:val="20"/>
                <w:szCs w:val="20"/>
              </w:rPr>
            </w:pPr>
            <w:r w:rsidRPr="00915698">
              <w:rPr>
                <w:rFonts w:ascii="Arial" w:hAnsi="Arial" w:cs="Arial"/>
                <w:b/>
                <w:bCs/>
                <w:color w:val="000000"/>
                <w:sz w:val="20"/>
                <w:szCs w:val="20"/>
              </w:rPr>
              <w:t>Title</w:t>
            </w:r>
          </w:p>
        </w:tc>
        <w:tc>
          <w:tcPr>
            <w:tcW w:w="993" w:type="pct"/>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color w:val="000000"/>
                <w:sz w:val="20"/>
                <w:szCs w:val="20"/>
              </w:rPr>
            </w:pPr>
            <w:r w:rsidRPr="00915698">
              <w:rPr>
                <w:rFonts w:ascii="Arial" w:hAnsi="Arial" w:cs="Arial"/>
                <w:b/>
                <w:bCs/>
                <w:color w:val="000000"/>
                <w:sz w:val="20"/>
                <w:szCs w:val="20"/>
              </w:rPr>
              <w:t>Sponsor</w:t>
            </w:r>
          </w:p>
        </w:tc>
        <w:tc>
          <w:tcPr>
            <w:tcW w:w="468" w:type="pct"/>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color w:val="000000"/>
                <w:sz w:val="20"/>
                <w:szCs w:val="20"/>
              </w:rPr>
            </w:pPr>
          </w:p>
        </w:tc>
        <w:tc>
          <w:tcPr>
            <w:tcW w:w="195" w:type="pct"/>
            <w:shd w:val="clear" w:color="auto" w:fill="EEEEEE"/>
            <w:tcMar>
              <w:top w:w="20" w:type="dxa"/>
              <w:left w:w="20" w:type="dxa"/>
              <w:bottom w:w="20" w:type="dxa"/>
              <w:right w:w="20" w:type="dxa"/>
            </w:tcMar>
            <w:vAlign w:val="center"/>
            <w:hideMark/>
          </w:tcPr>
          <w:p w:rsidR="00915698" w:rsidRPr="00915698" w:rsidRDefault="00F32193">
            <w:pPr>
              <w:rPr>
                <w:rFonts w:ascii="Arial" w:hAnsi="Arial" w:cs="Arial"/>
                <w:b/>
                <w:bCs/>
                <w:color w:val="000000"/>
                <w:sz w:val="20"/>
                <w:szCs w:val="20"/>
              </w:rPr>
            </w:pPr>
            <w:r w:rsidRPr="00F32193">
              <w:rPr>
                <w:rFonts w:ascii="Arial" w:hAnsi="Arial" w:cs="Arial"/>
                <w:b/>
                <w:bCs/>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pt">
                  <v:imagedata r:id="rId7" o:title=""/>
                </v:shape>
              </w:pict>
            </w:r>
          </w:p>
        </w:tc>
        <w:tc>
          <w:tcPr>
            <w:tcW w:w="303" w:type="pct"/>
            <w:gridSpan w:val="3"/>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color w:val="000000"/>
                <w:sz w:val="20"/>
                <w:szCs w:val="20"/>
              </w:rPr>
            </w:pPr>
            <w:r w:rsidRPr="00915698">
              <w:rPr>
                <w:rFonts w:ascii="Arial" w:hAnsi="Arial" w:cs="Arial"/>
                <w:b/>
                <w:bCs/>
                <w:color w:val="000000"/>
                <w:sz w:val="20"/>
                <w:szCs w:val="20"/>
              </w:rPr>
              <w:t>&lt;=all</w:t>
            </w:r>
          </w:p>
        </w:tc>
      </w:tr>
      <w:tr w:rsidR="00915698" w:rsidRPr="00915698">
        <w:trPr>
          <w:tblCellSpacing w:w="0" w:type="dxa"/>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4A6BBB">
              <w:rPr>
                <w:rFonts w:ascii="Arial" w:hAnsi="Arial" w:cs="Arial"/>
                <w:sz w:val="20"/>
                <w:szCs w:val="20"/>
              </w:rPr>
              <w:t>HB 0147</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sz w:val="20"/>
                <w:szCs w:val="20"/>
              </w:rPr>
            </w:pPr>
            <w:r w:rsidRPr="00915698">
              <w:rPr>
                <w:rFonts w:ascii="Arial" w:hAnsi="Arial" w:cs="Arial"/>
                <w:b/>
                <w:bCs/>
                <w:sz w:val="20"/>
                <w:szCs w:val="20"/>
              </w:rPr>
              <w:t>Relating to Concrete Masonry Education</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4A6BBB">
              <w:rPr>
                <w:rFonts w:ascii="Arial" w:hAnsi="Arial" w:cs="Arial"/>
                <w:sz w:val="20"/>
                <w:szCs w:val="20"/>
              </w:rPr>
              <w:t>Caldwell</w:t>
            </w:r>
            <w:r w:rsidRPr="00915698">
              <w:rPr>
                <w:rFonts w:ascii="Arial" w:hAnsi="Arial" w:cs="Arial"/>
                <w:sz w:val="20"/>
                <w:szCs w:val="20"/>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10/08/13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F32193">
            <w:pPr>
              <w:rPr>
                <w:rFonts w:ascii="Arial" w:hAnsi="Arial" w:cs="Arial"/>
                <w:sz w:val="20"/>
                <w:szCs w:val="20"/>
              </w:rPr>
            </w:pPr>
            <w:r w:rsidRPr="00F32193">
              <w:rPr>
                <w:rFonts w:ascii="Arial" w:hAnsi="Arial" w:cs="Arial"/>
                <w:sz w:val="20"/>
                <w:szCs w:val="20"/>
              </w:rPr>
              <w:pict>
                <v:shape id="_x0000_i1026"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jc w:val="center"/>
              <w:rPr>
                <w:rFonts w:ascii="Arial" w:hAnsi="Arial" w:cs="Arial"/>
                <w:sz w:val="20"/>
                <w:szCs w:val="20"/>
              </w:rPr>
            </w:pPr>
            <w:r w:rsidRPr="00915698">
              <w:rPr>
                <w:rFonts w:ascii="Arial" w:hAnsi="Arial" w:cs="Arial"/>
                <w:noProof/>
                <w:color w:val="003366"/>
                <w:sz w:val="20"/>
                <w:szCs w:val="20"/>
              </w:rPr>
              <w:drawing>
                <wp:inline distT="0" distB="0" distL="0" distR="0">
                  <wp:extent cx="133350" cy="133350"/>
                  <wp:effectExtent l="19050" t="0" r="0" b="0"/>
                  <wp:docPr id="1" name="Picture 1"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NOTE">
                            <a:hlinkClick r:id="rId8"/>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jc w:val="center"/>
              <w:rPr>
                <w:rFonts w:ascii="Arial" w:hAnsi="Arial" w:cs="Arial"/>
                <w:sz w:val="20"/>
                <w:szCs w:val="20"/>
              </w:rPr>
            </w:pPr>
            <w:r w:rsidRPr="00915698">
              <w:rPr>
                <w:rFonts w:ascii="Arial" w:hAnsi="Arial" w:cs="Arial"/>
                <w:noProof/>
                <w:color w:val="003366"/>
                <w:sz w:val="20"/>
                <w:szCs w:val="20"/>
              </w:rPr>
              <w:drawing>
                <wp:inline distT="0" distB="0" distL="0" distR="0">
                  <wp:extent cx="114300" cy="114300"/>
                  <wp:effectExtent l="19050" t="0" r="0" b="0"/>
                  <wp:docPr id="2" name="Picture 2"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lobbytools.com/images/ico_delete.gif">
                            <a:hlinkClick r:id="rId10"/>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915698" w:rsidRPr="00915698">
        <w:trPr>
          <w:tblCellSpacing w:w="0" w:type="dxa"/>
        </w:trPr>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gridSpan w:val="6"/>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Concrete Masonry Education: Designates act as "Concrete Masonry Education Act; creates Florida Concrete Masonry Education Council, Inc.; provides powers &amp; duties of council; provides for appointment &amp; terms of council's governing board; authorizes council to accept grants, donations, contributions, &amp; gifts; authorizes council to make payments to other organizations; provides for collection of voluntary assessment on concrete masonry units; requires manufacturers who elect to pay assessment to commit to paying assessment for specified period; requires council to adopt bylaws. Effective Date: July 1, 2014</w:t>
            </w:r>
          </w:p>
        </w:tc>
        <w:tc>
          <w:tcPr>
            <w:tcW w:w="0" w:type="auto"/>
            <w:vAlign w:val="center"/>
            <w:hideMark/>
          </w:tcPr>
          <w:p w:rsidR="00915698" w:rsidRPr="00915698" w:rsidRDefault="00915698">
            <w:pPr>
              <w:rPr>
                <w:sz w:val="20"/>
                <w:szCs w:val="20"/>
              </w:rPr>
            </w:pPr>
          </w:p>
        </w:tc>
      </w:tr>
      <w:tr w:rsidR="00915698" w:rsidRPr="00915698">
        <w:trPr>
          <w:tblCellSpacing w:w="0" w:type="dxa"/>
        </w:trPr>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819"/>
              <w:gridCol w:w="1241"/>
            </w:tblGrid>
            <w:tr w:rsidR="00915698" w:rsidRPr="00915698">
              <w:trPr>
                <w:tblCellSpacing w:w="0" w:type="dxa"/>
              </w:trPr>
              <w:tc>
                <w:tcPr>
                  <w:tcW w:w="0" w:type="auto"/>
                  <w:tcMar>
                    <w:top w:w="20" w:type="dxa"/>
                    <w:left w:w="20" w:type="dxa"/>
                    <w:bottom w:w="20" w:type="dxa"/>
                    <w:right w:w="20" w:type="dxa"/>
                  </w:tcMar>
                  <w:hideMark/>
                </w:tcPr>
                <w:p w:rsidR="00915698" w:rsidRPr="00915698" w:rsidRDefault="00915698">
                  <w:pPr>
                    <w:rPr>
                      <w:rFonts w:ascii="Arial" w:hAnsi="Arial" w:cs="Arial"/>
                      <w:sz w:val="20"/>
                      <w:szCs w:val="20"/>
                    </w:rPr>
                  </w:pPr>
                  <w:r w:rsidRPr="00915698">
                    <w:rPr>
                      <w:rFonts w:ascii="Arial" w:hAnsi="Arial" w:cs="Arial"/>
                      <w:sz w:val="20"/>
                      <w:szCs w:val="20"/>
                    </w:rPr>
                    <w:t xml:space="preserve">10/08/13 </w:t>
                  </w:r>
                </w:p>
              </w:tc>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HOUSE Filed</w:t>
                  </w:r>
                </w:p>
              </w:tc>
            </w:tr>
          </w:tbl>
          <w:p w:rsidR="00915698" w:rsidRPr="00915698" w:rsidRDefault="00915698">
            <w:pPr>
              <w:rPr>
                <w:rFonts w:ascii="Arial" w:hAnsi="Arial" w:cs="Arial"/>
                <w:sz w:val="20"/>
                <w:szCs w:val="20"/>
              </w:rPr>
            </w:pPr>
          </w:p>
        </w:tc>
      </w:tr>
      <w:tr w:rsidR="00915698" w:rsidRPr="00915698">
        <w:trPr>
          <w:tblCellSpacing w:w="0" w:type="dxa"/>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4A6BBB">
              <w:rPr>
                <w:rFonts w:ascii="Arial" w:hAnsi="Arial" w:cs="Arial"/>
                <w:sz w:val="20"/>
                <w:szCs w:val="20"/>
              </w:rPr>
              <w:t>SB 0154</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sz w:val="20"/>
                <w:szCs w:val="20"/>
              </w:rPr>
            </w:pPr>
            <w:r w:rsidRPr="00915698">
              <w:rPr>
                <w:rFonts w:ascii="Arial" w:hAnsi="Arial" w:cs="Arial"/>
                <w:b/>
                <w:bCs/>
                <w:sz w:val="20"/>
                <w:szCs w:val="20"/>
              </w:rPr>
              <w:t>Relating to Electrical Contracting</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4A6BBB">
              <w:rPr>
                <w:rFonts w:ascii="Arial" w:hAnsi="Arial" w:cs="Arial"/>
                <w:sz w:val="20"/>
                <w:szCs w:val="20"/>
              </w:rPr>
              <w:t>Soto</w:t>
            </w:r>
            <w:r w:rsidRPr="00915698">
              <w:rPr>
                <w:rFonts w:ascii="Arial" w:hAnsi="Arial" w:cs="Arial"/>
                <w:sz w:val="20"/>
                <w:szCs w:val="20"/>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09/25/13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F32193">
            <w:pPr>
              <w:rPr>
                <w:rFonts w:ascii="Arial" w:hAnsi="Arial" w:cs="Arial"/>
                <w:sz w:val="20"/>
                <w:szCs w:val="20"/>
              </w:rPr>
            </w:pPr>
            <w:r w:rsidRPr="00F32193">
              <w:rPr>
                <w:rFonts w:ascii="Arial" w:hAnsi="Arial" w:cs="Arial"/>
                <w:sz w:val="20"/>
                <w:szCs w:val="20"/>
              </w:rPr>
              <w:pict>
                <v:shape id="_x0000_i1027"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jc w:val="center"/>
              <w:rPr>
                <w:rFonts w:ascii="Arial" w:hAnsi="Arial" w:cs="Arial"/>
                <w:sz w:val="20"/>
                <w:szCs w:val="20"/>
              </w:rPr>
            </w:pPr>
            <w:r w:rsidRPr="00915698">
              <w:rPr>
                <w:rFonts w:ascii="Arial" w:hAnsi="Arial" w:cs="Arial"/>
                <w:noProof/>
                <w:color w:val="003366"/>
                <w:sz w:val="20"/>
                <w:szCs w:val="20"/>
              </w:rPr>
              <w:drawing>
                <wp:inline distT="0" distB="0" distL="0" distR="0">
                  <wp:extent cx="133350" cy="133350"/>
                  <wp:effectExtent l="19050" t="0" r="0" b="0"/>
                  <wp:docPr id="3" name="Picture 3"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NOTE">
                            <a:hlinkClick r:id="rId12"/>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jc w:val="center"/>
              <w:rPr>
                <w:rFonts w:ascii="Arial" w:hAnsi="Arial" w:cs="Arial"/>
                <w:sz w:val="20"/>
                <w:szCs w:val="20"/>
              </w:rPr>
            </w:pPr>
            <w:r w:rsidRPr="00915698">
              <w:rPr>
                <w:rFonts w:ascii="Arial" w:hAnsi="Arial" w:cs="Arial"/>
                <w:noProof/>
                <w:color w:val="003366"/>
                <w:sz w:val="20"/>
                <w:szCs w:val="20"/>
              </w:rPr>
              <w:drawing>
                <wp:inline distT="0" distB="0" distL="0" distR="0">
                  <wp:extent cx="114300" cy="114300"/>
                  <wp:effectExtent l="19050" t="0" r="0" b="0"/>
                  <wp:docPr id="4" name="Picture 4"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lobbytools.com/images/ico_delete.gif">
                            <a:hlinkClick r:id="rId13"/>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915698" w:rsidRPr="00915698">
        <w:trPr>
          <w:tblCellSpacing w:w="0" w:type="dxa"/>
        </w:trPr>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gridSpan w:val="6"/>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Electrical Contracting; Authorizing a municipality or county to require that one electrical journeyman who possesses a certificate of competency be present on certain industrial or commercial construction sites, etc. Effective Date: July 1, 2014</w:t>
            </w:r>
          </w:p>
        </w:tc>
        <w:tc>
          <w:tcPr>
            <w:tcW w:w="0" w:type="auto"/>
            <w:vAlign w:val="center"/>
            <w:hideMark/>
          </w:tcPr>
          <w:p w:rsidR="00915698" w:rsidRPr="00915698" w:rsidRDefault="00915698">
            <w:pPr>
              <w:rPr>
                <w:sz w:val="20"/>
                <w:szCs w:val="20"/>
              </w:rPr>
            </w:pPr>
          </w:p>
        </w:tc>
      </w:tr>
      <w:tr w:rsidR="00915698" w:rsidRPr="00915698">
        <w:trPr>
          <w:tblCellSpacing w:w="0" w:type="dxa"/>
        </w:trPr>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819"/>
              <w:gridCol w:w="1330"/>
            </w:tblGrid>
            <w:tr w:rsidR="00915698" w:rsidRPr="00915698">
              <w:trPr>
                <w:tblCellSpacing w:w="0" w:type="dxa"/>
              </w:trPr>
              <w:tc>
                <w:tcPr>
                  <w:tcW w:w="0" w:type="auto"/>
                  <w:tcMar>
                    <w:top w:w="20" w:type="dxa"/>
                    <w:left w:w="20" w:type="dxa"/>
                    <w:bottom w:w="20" w:type="dxa"/>
                    <w:right w:w="20" w:type="dxa"/>
                  </w:tcMar>
                  <w:hideMark/>
                </w:tcPr>
                <w:p w:rsidR="00915698" w:rsidRPr="00915698" w:rsidRDefault="00915698">
                  <w:pPr>
                    <w:rPr>
                      <w:rFonts w:ascii="Arial" w:hAnsi="Arial" w:cs="Arial"/>
                      <w:sz w:val="20"/>
                      <w:szCs w:val="20"/>
                    </w:rPr>
                  </w:pPr>
                  <w:r w:rsidRPr="00915698">
                    <w:rPr>
                      <w:rFonts w:ascii="Arial" w:hAnsi="Arial" w:cs="Arial"/>
                      <w:sz w:val="20"/>
                      <w:szCs w:val="20"/>
                    </w:rPr>
                    <w:t xml:space="preserve">09/12/13 </w:t>
                  </w:r>
                </w:p>
              </w:tc>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SENATE Filed</w:t>
                  </w:r>
                </w:p>
              </w:tc>
            </w:tr>
          </w:tbl>
          <w:p w:rsidR="00915698" w:rsidRPr="00915698" w:rsidRDefault="00915698">
            <w:pPr>
              <w:rPr>
                <w:rFonts w:ascii="Arial" w:hAnsi="Arial" w:cs="Arial"/>
                <w:sz w:val="20"/>
                <w:szCs w:val="20"/>
              </w:rPr>
            </w:pPr>
          </w:p>
        </w:tc>
      </w:tr>
      <w:tr w:rsidR="00915698" w:rsidRPr="00915698">
        <w:trPr>
          <w:tblCellSpacing w:w="0" w:type="dxa"/>
        </w:trPr>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819"/>
              <w:gridCol w:w="7749"/>
            </w:tblGrid>
            <w:tr w:rsidR="00915698" w:rsidRPr="00915698">
              <w:trPr>
                <w:tblCellSpacing w:w="0" w:type="dxa"/>
              </w:trPr>
              <w:tc>
                <w:tcPr>
                  <w:tcW w:w="0" w:type="auto"/>
                  <w:tcMar>
                    <w:top w:w="20" w:type="dxa"/>
                    <w:left w:w="20" w:type="dxa"/>
                    <w:bottom w:w="20" w:type="dxa"/>
                    <w:right w:w="20" w:type="dxa"/>
                  </w:tcMar>
                  <w:hideMark/>
                </w:tcPr>
                <w:p w:rsidR="00915698" w:rsidRPr="00915698" w:rsidRDefault="00915698">
                  <w:pPr>
                    <w:rPr>
                      <w:rFonts w:ascii="Arial" w:hAnsi="Arial" w:cs="Arial"/>
                      <w:sz w:val="20"/>
                      <w:szCs w:val="20"/>
                    </w:rPr>
                  </w:pPr>
                  <w:r w:rsidRPr="00915698">
                    <w:rPr>
                      <w:rFonts w:ascii="Arial" w:hAnsi="Arial" w:cs="Arial"/>
                      <w:sz w:val="20"/>
                      <w:szCs w:val="20"/>
                    </w:rPr>
                    <w:t xml:space="preserve">09/25/13 </w:t>
                  </w:r>
                </w:p>
              </w:tc>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SENATE Referred to Regulated Industries; Commerce and Tourism; Community Affairs</w:t>
                  </w:r>
                </w:p>
              </w:tc>
            </w:tr>
          </w:tbl>
          <w:p w:rsidR="00915698" w:rsidRPr="00915698" w:rsidRDefault="00915698">
            <w:pPr>
              <w:rPr>
                <w:rFonts w:ascii="Arial" w:hAnsi="Arial" w:cs="Arial"/>
                <w:sz w:val="20"/>
                <w:szCs w:val="20"/>
              </w:rPr>
            </w:pPr>
          </w:p>
        </w:tc>
      </w:tr>
      <w:tr w:rsidR="00915698" w:rsidRPr="00915698">
        <w:trPr>
          <w:tblCellSpacing w:w="0" w:type="dxa"/>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4A6BBB">
              <w:rPr>
                <w:rFonts w:ascii="Arial" w:hAnsi="Arial" w:cs="Arial"/>
                <w:sz w:val="20"/>
                <w:szCs w:val="20"/>
              </w:rPr>
              <w:t>HB 0155</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b/>
                <w:bCs/>
                <w:sz w:val="20"/>
                <w:szCs w:val="20"/>
              </w:rPr>
            </w:pPr>
            <w:r w:rsidRPr="00915698">
              <w:rPr>
                <w:rFonts w:ascii="Arial" w:hAnsi="Arial" w:cs="Arial"/>
                <w:b/>
                <w:bCs/>
                <w:sz w:val="20"/>
                <w:szCs w:val="20"/>
              </w:rPr>
              <w:t>Relating to Defense Contracting</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4A6BBB">
              <w:rPr>
                <w:rFonts w:ascii="Arial" w:hAnsi="Arial" w:cs="Arial"/>
                <w:sz w:val="20"/>
                <w:szCs w:val="20"/>
              </w:rPr>
              <w:t>Smith (J)</w:t>
            </w:r>
            <w:r w:rsidRPr="00915698">
              <w:rPr>
                <w:rFonts w:ascii="Arial" w:hAnsi="Arial" w:cs="Arial"/>
                <w:sz w:val="20"/>
                <w:szCs w:val="20"/>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10/09/13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F32193">
            <w:pPr>
              <w:rPr>
                <w:rFonts w:ascii="Arial" w:hAnsi="Arial" w:cs="Arial"/>
                <w:sz w:val="20"/>
                <w:szCs w:val="20"/>
              </w:rPr>
            </w:pPr>
            <w:r w:rsidRPr="00F32193">
              <w:rPr>
                <w:rFonts w:ascii="Arial" w:hAnsi="Arial" w:cs="Arial"/>
                <w:sz w:val="20"/>
                <w:szCs w:val="20"/>
              </w:rPr>
              <w:pict>
                <v:shape id="_x0000_i1028"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jc w:val="center"/>
              <w:rPr>
                <w:rFonts w:ascii="Arial" w:hAnsi="Arial" w:cs="Arial"/>
                <w:sz w:val="20"/>
                <w:szCs w:val="20"/>
              </w:rPr>
            </w:pPr>
            <w:r w:rsidRPr="00915698">
              <w:rPr>
                <w:rFonts w:ascii="Arial" w:hAnsi="Arial" w:cs="Arial"/>
                <w:noProof/>
                <w:color w:val="003366"/>
                <w:sz w:val="20"/>
                <w:szCs w:val="20"/>
              </w:rPr>
              <w:drawing>
                <wp:inline distT="0" distB="0" distL="0" distR="0">
                  <wp:extent cx="133350" cy="133350"/>
                  <wp:effectExtent l="19050" t="0" r="0" b="0"/>
                  <wp:docPr id="5" name="Picture 5"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D NOTE">
                            <a:hlinkClick r:id="rId14"/>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915698" w:rsidRPr="00915698" w:rsidRDefault="00915698">
            <w:pPr>
              <w:jc w:val="center"/>
              <w:rPr>
                <w:rFonts w:ascii="Arial" w:hAnsi="Arial" w:cs="Arial"/>
                <w:sz w:val="20"/>
                <w:szCs w:val="20"/>
              </w:rPr>
            </w:pPr>
            <w:r w:rsidRPr="00915698">
              <w:rPr>
                <w:rFonts w:ascii="Arial" w:hAnsi="Arial" w:cs="Arial"/>
                <w:noProof/>
                <w:color w:val="003366"/>
                <w:sz w:val="20"/>
                <w:szCs w:val="20"/>
              </w:rPr>
              <w:drawing>
                <wp:inline distT="0" distB="0" distL="0" distR="0">
                  <wp:extent cx="114300" cy="114300"/>
                  <wp:effectExtent l="19050" t="0" r="0" b="0"/>
                  <wp:docPr id="6" name="Picture 6"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lobbytools.com/images/ico_delete.gif">
                            <a:hlinkClick r:id="rId15"/>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915698" w:rsidRPr="00915698">
        <w:trPr>
          <w:tblCellSpacing w:w="0" w:type="dxa"/>
        </w:trPr>
        <w:tc>
          <w:tcPr>
            <w:tcW w:w="0" w:type="auto"/>
            <w:tcMar>
              <w:top w:w="20" w:type="dxa"/>
              <w:left w:w="20" w:type="dxa"/>
              <w:bottom w:w="20" w:type="dxa"/>
              <w:right w:w="20" w:type="dxa"/>
            </w:tcMar>
            <w:vAlign w:val="center"/>
            <w:hideMark/>
          </w:tcPr>
          <w:p w:rsidR="00915698" w:rsidRPr="00915698" w:rsidRDefault="00915698">
            <w:pPr>
              <w:rPr>
                <w:rFonts w:ascii="Arial" w:hAnsi="Arial" w:cs="Arial"/>
                <w:sz w:val="20"/>
                <w:szCs w:val="20"/>
              </w:rPr>
            </w:pPr>
          </w:p>
        </w:tc>
        <w:tc>
          <w:tcPr>
            <w:tcW w:w="0" w:type="auto"/>
            <w:gridSpan w:val="6"/>
            <w:tcMar>
              <w:top w:w="20" w:type="dxa"/>
              <w:left w:w="20" w:type="dxa"/>
              <w:bottom w:w="20" w:type="dxa"/>
              <w:right w:w="20" w:type="dxa"/>
            </w:tcMar>
            <w:vAlign w:val="center"/>
            <w:hideMark/>
          </w:tcPr>
          <w:p w:rsidR="00915698" w:rsidRPr="00915698" w:rsidRDefault="00915698">
            <w:pPr>
              <w:rPr>
                <w:rFonts w:ascii="Arial" w:hAnsi="Arial" w:cs="Arial"/>
                <w:sz w:val="20"/>
                <w:szCs w:val="20"/>
              </w:rPr>
            </w:pPr>
            <w:r w:rsidRPr="00915698">
              <w:rPr>
                <w:rFonts w:ascii="Arial" w:hAnsi="Arial" w:cs="Arial"/>
                <w:sz w:val="20"/>
                <w:szCs w:val="20"/>
              </w:rPr>
              <w:t>Defense Contracting: Provides that certain prime contractors may apply to DEO to certify that such contractors may reduce their computation of adjusted federal income by certain amount when awarded prime contract; provides requirements to apply for reduction in computation of income; provides that prime contractor must apply separately for each qualified subcontract award; provides guidelines for DEO to certify award. Effective Date: July 1, 2014</w:t>
            </w:r>
          </w:p>
        </w:tc>
        <w:tc>
          <w:tcPr>
            <w:tcW w:w="0" w:type="auto"/>
            <w:vAlign w:val="center"/>
            <w:hideMark/>
          </w:tcPr>
          <w:p w:rsidR="00915698" w:rsidRPr="00915698" w:rsidRDefault="00915698">
            <w:pPr>
              <w:rPr>
                <w:sz w:val="20"/>
                <w:szCs w:val="20"/>
              </w:rPr>
            </w:pPr>
          </w:p>
        </w:tc>
      </w:tr>
    </w:tbl>
    <w:p w:rsidR="00695A6D" w:rsidRDefault="00695A6D" w:rsidP="00695A6D">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156092" w:rsidRDefault="003C4C6F" w:rsidP="002B78B0">
      <w:pPr>
        <w:pStyle w:val="BlockText"/>
      </w:pPr>
      <w:r>
        <w:t>October 14</w:t>
      </w:r>
      <w:r w:rsidR="0029168D">
        <w:t>, 2</w:t>
      </w:r>
      <w:r>
        <w:t>013</w:t>
      </w:r>
      <w:r w:rsidR="00156092">
        <w:t>.</w:t>
      </w:r>
    </w:p>
    <w:p w:rsidR="009C6CE8" w:rsidRDefault="009C6CE8" w:rsidP="00922A6D">
      <w:pPr>
        <w:pStyle w:val="BlockText"/>
        <w:ind w:left="360"/>
      </w:pPr>
    </w:p>
    <w:p w:rsidR="005B581D" w:rsidRDefault="005B581D">
      <w:pPr>
        <w:pStyle w:val="BlockText"/>
        <w:ind w:left="360"/>
      </w:pPr>
    </w:p>
    <w:sectPr w:rsidR="005B581D" w:rsidSect="009A10B6">
      <w:headerReference w:type="even" r:id="rId16"/>
      <w:headerReference w:type="default" r:id="rId17"/>
      <w:footerReference w:type="even" r:id="rId18"/>
      <w:footerReference w:type="default" r:id="rId19"/>
      <w:headerReference w:type="first" r:id="rId20"/>
      <w:footerReference w:type="first" r:id="rId21"/>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12" w:rsidRDefault="008D3512" w:rsidP="009A2CBA">
      <w:r>
        <w:separator/>
      </w:r>
    </w:p>
  </w:endnote>
  <w:endnote w:type="continuationSeparator" w:id="0">
    <w:p w:rsidR="008D3512" w:rsidRDefault="008D3512"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BB" w:rsidRDefault="004A6B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Default="00C014A9" w:rsidP="000421B5">
    <w:pPr>
      <w:pStyle w:val="Footer"/>
    </w:pPr>
    <w:r>
      <w:tab/>
    </w:r>
    <w:fldSimple w:instr=" PAGE   \* MERGEFORMAT ">
      <w:r w:rsidR="004B1D39">
        <w:rPr>
          <w:noProof/>
        </w:rPr>
        <w:t>2</w:t>
      </w:r>
    </w:fldSimple>
  </w:p>
  <w:p w:rsidR="00C014A9" w:rsidRPr="00911FE4" w:rsidRDefault="004A6BBB" w:rsidP="000421B5">
    <w:pPr>
      <w:pStyle w:val="Footer"/>
      <w:rPr>
        <w:rStyle w:val="DocID"/>
      </w:rPr>
    </w:pPr>
    <w:r w:rsidRPr="004A6BBB">
      <w:rPr>
        <w:rStyle w:val="DocID"/>
      </w:rPr>
      <w:t>#26072692_v1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Pr="00911FE4" w:rsidRDefault="00F32193" w:rsidP="000421B5">
    <w:pPr>
      <w:pStyle w:val="Footer"/>
      <w:rPr>
        <w:rStyle w:val="DocID"/>
      </w:rPr>
    </w:pPr>
    <w:r>
      <w:rPr>
        <w:sz w:val="20"/>
      </w:rPr>
      <w:fldChar w:fldCharType="begin"/>
    </w:r>
    <w:r w:rsidR="00C014A9">
      <w:rPr>
        <w:sz w:val="20"/>
      </w:rPr>
      <w:instrText xml:space="preserve"> If </w:instrText>
    </w:r>
    <w:r>
      <w:rPr>
        <w:sz w:val="20"/>
      </w:rPr>
      <w:fldChar w:fldCharType="begin"/>
    </w:r>
    <w:r w:rsidR="00C014A9">
      <w:rPr>
        <w:sz w:val="20"/>
      </w:rPr>
      <w:instrText xml:space="preserve"> numpages </w:instrText>
    </w:r>
    <w:r>
      <w:rPr>
        <w:sz w:val="20"/>
      </w:rPr>
      <w:fldChar w:fldCharType="separate"/>
    </w:r>
    <w:r w:rsidR="004B1D39">
      <w:rPr>
        <w:noProof/>
        <w:sz w:val="20"/>
      </w:rPr>
      <w:instrText>1</w:instrText>
    </w:r>
    <w:r>
      <w:rPr>
        <w:sz w:val="20"/>
      </w:rPr>
      <w:fldChar w:fldCharType="end"/>
    </w:r>
    <w:r w:rsidR="00C014A9">
      <w:rPr>
        <w:sz w:val="20"/>
      </w:rPr>
      <w:instrText xml:space="preserve"> = 1 </w:instrText>
    </w:r>
    <w:r w:rsidR="00C014A9" w:rsidRPr="001768AB">
      <w:rPr>
        <w:rStyle w:val="DocID"/>
      </w:rPr>
      <w:instrText>#12612613_v1</w:instrText>
    </w:r>
    <w:r w:rsidR="00C014A9">
      <w:instrText xml:space="preserve"> ""</w:instrText>
    </w:r>
    <w:r w:rsidR="00C014A9">
      <w:rPr>
        <w:sz w:val="20"/>
      </w:rPr>
      <w:instrText xml:space="preserve"> </w:instrText>
    </w:r>
    <w:r w:rsidR="004B1D39">
      <w:rPr>
        <w:sz w:val="20"/>
      </w:rPr>
      <w:fldChar w:fldCharType="separate"/>
    </w:r>
    <w:r w:rsidR="004B1D39" w:rsidRPr="001768AB">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12" w:rsidRDefault="008D3512" w:rsidP="009A2CBA">
      <w:r>
        <w:separator/>
      </w:r>
    </w:p>
  </w:footnote>
  <w:footnote w:type="continuationSeparator" w:id="0">
    <w:p w:rsidR="008D3512" w:rsidRDefault="008D3512" w:rsidP="009A2CBA">
      <w:r>
        <w:continuationSeparator/>
      </w:r>
    </w:p>
  </w:footnote>
  <w:footnote w:id="1">
    <w:p w:rsidR="00491907" w:rsidRPr="0038047E" w:rsidRDefault="00C014A9" w:rsidP="00491907">
      <w:pPr>
        <w:pStyle w:val="BlockText"/>
      </w:pPr>
      <w:r>
        <w:rPr>
          <w:rStyle w:val="FootnoteReference"/>
        </w:rPr>
        <w:footnoteRef/>
      </w:r>
      <w:r w:rsidR="00E1125C">
        <w:t xml:space="preserve"> This agency is not allowed to grant variances or waivers from the Florida Building Code, expect as to handicapped accessibility</w:t>
      </w:r>
      <w:r w:rsidR="00491907">
        <w:t xml:space="preserve">. </w:t>
      </w:r>
      <w:r w:rsidR="00491907" w:rsidRPr="0038047E">
        <w:t xml:space="preserve">As part of the TRANSFER of this commission from the now-defunct Department of Community Affairs to the Department of Business and Professional Regulation, all rules from </w:t>
      </w:r>
      <w:r w:rsidR="00491907">
        <w:t xml:space="preserve">former </w:t>
      </w:r>
      <w:r w:rsidR="00491907" w:rsidRPr="0038047E">
        <w:t>Chapter 9N have been TRANSFERRED to Chapter 61G20, FAC.</w:t>
      </w:r>
    </w:p>
    <w:p w:rsidR="00C014A9" w:rsidRDefault="00C014A9" w:rsidP="004E142A">
      <w:pPr>
        <w:pStyle w:val="BlockText"/>
      </w:pPr>
    </w:p>
    <w:p w:rsidR="00C014A9" w:rsidRDefault="00C014A9"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BB" w:rsidRDefault="004A6B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BB" w:rsidRDefault="004A6B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BB" w:rsidRDefault="004A6B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74EDF"/>
    <w:rsid w:val="00084298"/>
    <w:rsid w:val="00094361"/>
    <w:rsid w:val="000A3246"/>
    <w:rsid w:val="000A4BA4"/>
    <w:rsid w:val="000B0E17"/>
    <w:rsid w:val="000B1DDB"/>
    <w:rsid w:val="000B2203"/>
    <w:rsid w:val="000B76DD"/>
    <w:rsid w:val="000C4772"/>
    <w:rsid w:val="000D08E7"/>
    <w:rsid w:val="000D2555"/>
    <w:rsid w:val="000D7A4E"/>
    <w:rsid w:val="000E17E8"/>
    <w:rsid w:val="000E6D1A"/>
    <w:rsid w:val="000F112D"/>
    <w:rsid w:val="000F2EBD"/>
    <w:rsid w:val="000F6911"/>
    <w:rsid w:val="000F69D8"/>
    <w:rsid w:val="00100E22"/>
    <w:rsid w:val="00103CDF"/>
    <w:rsid w:val="0010433D"/>
    <w:rsid w:val="00107362"/>
    <w:rsid w:val="00110D3B"/>
    <w:rsid w:val="001114F7"/>
    <w:rsid w:val="001148B5"/>
    <w:rsid w:val="001156AF"/>
    <w:rsid w:val="00117224"/>
    <w:rsid w:val="00117544"/>
    <w:rsid w:val="00121A5A"/>
    <w:rsid w:val="00126ABD"/>
    <w:rsid w:val="0013367A"/>
    <w:rsid w:val="00135B1C"/>
    <w:rsid w:val="001437FC"/>
    <w:rsid w:val="00146E4E"/>
    <w:rsid w:val="001476D7"/>
    <w:rsid w:val="00151720"/>
    <w:rsid w:val="00151F43"/>
    <w:rsid w:val="00156092"/>
    <w:rsid w:val="001572A8"/>
    <w:rsid w:val="00162E5A"/>
    <w:rsid w:val="001673C5"/>
    <w:rsid w:val="0017187B"/>
    <w:rsid w:val="00172C04"/>
    <w:rsid w:val="00175923"/>
    <w:rsid w:val="001768AB"/>
    <w:rsid w:val="0019065B"/>
    <w:rsid w:val="001963BC"/>
    <w:rsid w:val="001B0E80"/>
    <w:rsid w:val="001B11FD"/>
    <w:rsid w:val="001B5A99"/>
    <w:rsid w:val="001B5DD4"/>
    <w:rsid w:val="001B6195"/>
    <w:rsid w:val="001B73F6"/>
    <w:rsid w:val="001D0121"/>
    <w:rsid w:val="001D1B70"/>
    <w:rsid w:val="001D25D1"/>
    <w:rsid w:val="001D50A8"/>
    <w:rsid w:val="001E327E"/>
    <w:rsid w:val="001E3281"/>
    <w:rsid w:val="001F01B4"/>
    <w:rsid w:val="001F18CD"/>
    <w:rsid w:val="001F7DB9"/>
    <w:rsid w:val="00200951"/>
    <w:rsid w:val="00210263"/>
    <w:rsid w:val="00221926"/>
    <w:rsid w:val="00221AAE"/>
    <w:rsid w:val="00222C12"/>
    <w:rsid w:val="002236E8"/>
    <w:rsid w:val="00223B90"/>
    <w:rsid w:val="0022445A"/>
    <w:rsid w:val="00227443"/>
    <w:rsid w:val="002321A5"/>
    <w:rsid w:val="002348A5"/>
    <w:rsid w:val="002363CA"/>
    <w:rsid w:val="00236AB0"/>
    <w:rsid w:val="00237AEC"/>
    <w:rsid w:val="00243FF8"/>
    <w:rsid w:val="00246D22"/>
    <w:rsid w:val="00251EB1"/>
    <w:rsid w:val="00252DC4"/>
    <w:rsid w:val="002558FB"/>
    <w:rsid w:val="00262A25"/>
    <w:rsid w:val="002630F7"/>
    <w:rsid w:val="00273404"/>
    <w:rsid w:val="00274276"/>
    <w:rsid w:val="002857BE"/>
    <w:rsid w:val="00286558"/>
    <w:rsid w:val="00286B40"/>
    <w:rsid w:val="00290B6F"/>
    <w:rsid w:val="0029168D"/>
    <w:rsid w:val="00292E15"/>
    <w:rsid w:val="00294F80"/>
    <w:rsid w:val="002A4DD8"/>
    <w:rsid w:val="002A777F"/>
    <w:rsid w:val="002B09F1"/>
    <w:rsid w:val="002B0DFC"/>
    <w:rsid w:val="002B3E98"/>
    <w:rsid w:val="002B78B0"/>
    <w:rsid w:val="002C378F"/>
    <w:rsid w:val="002C5E1D"/>
    <w:rsid w:val="002D1599"/>
    <w:rsid w:val="002D4362"/>
    <w:rsid w:val="002E2A6D"/>
    <w:rsid w:val="002E559C"/>
    <w:rsid w:val="002F015B"/>
    <w:rsid w:val="002F16B3"/>
    <w:rsid w:val="002F61E3"/>
    <w:rsid w:val="00305D83"/>
    <w:rsid w:val="00305FDE"/>
    <w:rsid w:val="00311BC1"/>
    <w:rsid w:val="003134D3"/>
    <w:rsid w:val="0031487D"/>
    <w:rsid w:val="003154E8"/>
    <w:rsid w:val="00321E89"/>
    <w:rsid w:val="003239B0"/>
    <w:rsid w:val="0032598E"/>
    <w:rsid w:val="003319A7"/>
    <w:rsid w:val="00332825"/>
    <w:rsid w:val="003376F7"/>
    <w:rsid w:val="00340637"/>
    <w:rsid w:val="00340740"/>
    <w:rsid w:val="00340B4E"/>
    <w:rsid w:val="00345235"/>
    <w:rsid w:val="003473F4"/>
    <w:rsid w:val="003563EF"/>
    <w:rsid w:val="00361628"/>
    <w:rsid w:val="0036439B"/>
    <w:rsid w:val="00376DA1"/>
    <w:rsid w:val="0038047E"/>
    <w:rsid w:val="00383EFB"/>
    <w:rsid w:val="00384141"/>
    <w:rsid w:val="00385904"/>
    <w:rsid w:val="003A0148"/>
    <w:rsid w:val="003A1E91"/>
    <w:rsid w:val="003A33A5"/>
    <w:rsid w:val="003A4FB0"/>
    <w:rsid w:val="003B5B30"/>
    <w:rsid w:val="003C09F0"/>
    <w:rsid w:val="003C265E"/>
    <w:rsid w:val="003C4C6F"/>
    <w:rsid w:val="003C50CC"/>
    <w:rsid w:val="003D34DF"/>
    <w:rsid w:val="003D6EAC"/>
    <w:rsid w:val="003D7308"/>
    <w:rsid w:val="003E13A7"/>
    <w:rsid w:val="003E3843"/>
    <w:rsid w:val="003F395F"/>
    <w:rsid w:val="003F4811"/>
    <w:rsid w:val="003F5F1A"/>
    <w:rsid w:val="00416C25"/>
    <w:rsid w:val="004200FB"/>
    <w:rsid w:val="004204AE"/>
    <w:rsid w:val="00425FE8"/>
    <w:rsid w:val="00427E2F"/>
    <w:rsid w:val="00436BA2"/>
    <w:rsid w:val="004406AC"/>
    <w:rsid w:val="00441CD1"/>
    <w:rsid w:val="00454846"/>
    <w:rsid w:val="0045543B"/>
    <w:rsid w:val="0046192D"/>
    <w:rsid w:val="004634BE"/>
    <w:rsid w:val="00465432"/>
    <w:rsid w:val="0047003F"/>
    <w:rsid w:val="00474D96"/>
    <w:rsid w:val="00480712"/>
    <w:rsid w:val="00484B9C"/>
    <w:rsid w:val="00491907"/>
    <w:rsid w:val="00492027"/>
    <w:rsid w:val="004A0671"/>
    <w:rsid w:val="004A451E"/>
    <w:rsid w:val="004A5613"/>
    <w:rsid w:val="004A582F"/>
    <w:rsid w:val="004A6BBB"/>
    <w:rsid w:val="004A6E9B"/>
    <w:rsid w:val="004B196B"/>
    <w:rsid w:val="004B1D39"/>
    <w:rsid w:val="004C458B"/>
    <w:rsid w:val="004C63D8"/>
    <w:rsid w:val="004C7846"/>
    <w:rsid w:val="004E142A"/>
    <w:rsid w:val="004E2A5D"/>
    <w:rsid w:val="004E35D0"/>
    <w:rsid w:val="004E61C2"/>
    <w:rsid w:val="004E7067"/>
    <w:rsid w:val="004F030C"/>
    <w:rsid w:val="004F3D87"/>
    <w:rsid w:val="00500503"/>
    <w:rsid w:val="00504537"/>
    <w:rsid w:val="005063F3"/>
    <w:rsid w:val="0051221A"/>
    <w:rsid w:val="00512724"/>
    <w:rsid w:val="00520F5E"/>
    <w:rsid w:val="005237C4"/>
    <w:rsid w:val="00530892"/>
    <w:rsid w:val="00530CD6"/>
    <w:rsid w:val="00535353"/>
    <w:rsid w:val="00535A2B"/>
    <w:rsid w:val="00540398"/>
    <w:rsid w:val="005463F4"/>
    <w:rsid w:val="00553CBE"/>
    <w:rsid w:val="00555FBF"/>
    <w:rsid w:val="005665C2"/>
    <w:rsid w:val="0059572F"/>
    <w:rsid w:val="005A61CC"/>
    <w:rsid w:val="005A74C3"/>
    <w:rsid w:val="005B212C"/>
    <w:rsid w:val="005B2CCD"/>
    <w:rsid w:val="005B558F"/>
    <w:rsid w:val="005B581D"/>
    <w:rsid w:val="005C08FA"/>
    <w:rsid w:val="005C40F9"/>
    <w:rsid w:val="005C5CFC"/>
    <w:rsid w:val="005D217B"/>
    <w:rsid w:val="005D5F3E"/>
    <w:rsid w:val="005D71D8"/>
    <w:rsid w:val="005E4539"/>
    <w:rsid w:val="005F17D4"/>
    <w:rsid w:val="005F1FB3"/>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85808"/>
    <w:rsid w:val="00695A6D"/>
    <w:rsid w:val="00697F28"/>
    <w:rsid w:val="006A3547"/>
    <w:rsid w:val="006A3A6B"/>
    <w:rsid w:val="006A3B11"/>
    <w:rsid w:val="006A50BC"/>
    <w:rsid w:val="006B1D63"/>
    <w:rsid w:val="006B60DD"/>
    <w:rsid w:val="006C5A7D"/>
    <w:rsid w:val="006C704A"/>
    <w:rsid w:val="006D3AD0"/>
    <w:rsid w:val="006D7744"/>
    <w:rsid w:val="006E3B26"/>
    <w:rsid w:val="006E5368"/>
    <w:rsid w:val="006E5C27"/>
    <w:rsid w:val="006F336C"/>
    <w:rsid w:val="006F4CE9"/>
    <w:rsid w:val="007017B0"/>
    <w:rsid w:val="0070218E"/>
    <w:rsid w:val="007065A1"/>
    <w:rsid w:val="007135EE"/>
    <w:rsid w:val="007150E1"/>
    <w:rsid w:val="00722B80"/>
    <w:rsid w:val="00722DD1"/>
    <w:rsid w:val="0074468A"/>
    <w:rsid w:val="00757661"/>
    <w:rsid w:val="00760E2D"/>
    <w:rsid w:val="00774A2B"/>
    <w:rsid w:val="007755F6"/>
    <w:rsid w:val="00780CCE"/>
    <w:rsid w:val="007862BD"/>
    <w:rsid w:val="007870BA"/>
    <w:rsid w:val="007902F3"/>
    <w:rsid w:val="00793514"/>
    <w:rsid w:val="00795394"/>
    <w:rsid w:val="00797252"/>
    <w:rsid w:val="007977D0"/>
    <w:rsid w:val="007A040E"/>
    <w:rsid w:val="007A2C34"/>
    <w:rsid w:val="007A7335"/>
    <w:rsid w:val="007B455D"/>
    <w:rsid w:val="007C3596"/>
    <w:rsid w:val="007C479E"/>
    <w:rsid w:val="007C534A"/>
    <w:rsid w:val="007D14A8"/>
    <w:rsid w:val="007E128E"/>
    <w:rsid w:val="007E2299"/>
    <w:rsid w:val="007E4176"/>
    <w:rsid w:val="007F16BD"/>
    <w:rsid w:val="007F2F12"/>
    <w:rsid w:val="007F63B9"/>
    <w:rsid w:val="007F6E51"/>
    <w:rsid w:val="00801B02"/>
    <w:rsid w:val="00806AA8"/>
    <w:rsid w:val="00812FF0"/>
    <w:rsid w:val="008157CF"/>
    <w:rsid w:val="00820D75"/>
    <w:rsid w:val="00821688"/>
    <w:rsid w:val="008219AB"/>
    <w:rsid w:val="0082467E"/>
    <w:rsid w:val="008271F6"/>
    <w:rsid w:val="00832281"/>
    <w:rsid w:val="00832A42"/>
    <w:rsid w:val="0083319A"/>
    <w:rsid w:val="00833649"/>
    <w:rsid w:val="008476AE"/>
    <w:rsid w:val="0086294F"/>
    <w:rsid w:val="008642DB"/>
    <w:rsid w:val="00864F61"/>
    <w:rsid w:val="008667F9"/>
    <w:rsid w:val="008714D7"/>
    <w:rsid w:val="00875906"/>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3512"/>
    <w:rsid w:val="008D5528"/>
    <w:rsid w:val="008D7EAD"/>
    <w:rsid w:val="008E212F"/>
    <w:rsid w:val="008F58B8"/>
    <w:rsid w:val="008F6B36"/>
    <w:rsid w:val="009008DD"/>
    <w:rsid w:val="009024B4"/>
    <w:rsid w:val="0090334E"/>
    <w:rsid w:val="009037AF"/>
    <w:rsid w:val="0090427C"/>
    <w:rsid w:val="00910237"/>
    <w:rsid w:val="00912B18"/>
    <w:rsid w:val="00913DE9"/>
    <w:rsid w:val="00915698"/>
    <w:rsid w:val="00920535"/>
    <w:rsid w:val="00922A6D"/>
    <w:rsid w:val="009242EA"/>
    <w:rsid w:val="00925E5C"/>
    <w:rsid w:val="00927A0D"/>
    <w:rsid w:val="00927EF0"/>
    <w:rsid w:val="00933C83"/>
    <w:rsid w:val="00936542"/>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CE8"/>
    <w:rsid w:val="009C6F42"/>
    <w:rsid w:val="009E1F25"/>
    <w:rsid w:val="009E2A70"/>
    <w:rsid w:val="009E489B"/>
    <w:rsid w:val="009F3168"/>
    <w:rsid w:val="009F3454"/>
    <w:rsid w:val="009F4440"/>
    <w:rsid w:val="00A0246B"/>
    <w:rsid w:val="00A03908"/>
    <w:rsid w:val="00A05724"/>
    <w:rsid w:val="00A11C23"/>
    <w:rsid w:val="00A17D94"/>
    <w:rsid w:val="00A2092B"/>
    <w:rsid w:val="00A23BA0"/>
    <w:rsid w:val="00A24F93"/>
    <w:rsid w:val="00A314FA"/>
    <w:rsid w:val="00A3799B"/>
    <w:rsid w:val="00A413D5"/>
    <w:rsid w:val="00A47BAD"/>
    <w:rsid w:val="00A47D5F"/>
    <w:rsid w:val="00A52BEC"/>
    <w:rsid w:val="00A57777"/>
    <w:rsid w:val="00A57E0F"/>
    <w:rsid w:val="00A82F6F"/>
    <w:rsid w:val="00A862A4"/>
    <w:rsid w:val="00A903BC"/>
    <w:rsid w:val="00A92BA2"/>
    <w:rsid w:val="00A9360E"/>
    <w:rsid w:val="00A973D9"/>
    <w:rsid w:val="00AA1C3B"/>
    <w:rsid w:val="00AA20DC"/>
    <w:rsid w:val="00AA2435"/>
    <w:rsid w:val="00AA49B9"/>
    <w:rsid w:val="00AB6124"/>
    <w:rsid w:val="00AB759F"/>
    <w:rsid w:val="00AB7A77"/>
    <w:rsid w:val="00AC4FD0"/>
    <w:rsid w:val="00AC560D"/>
    <w:rsid w:val="00AD19E4"/>
    <w:rsid w:val="00AD319B"/>
    <w:rsid w:val="00AD3673"/>
    <w:rsid w:val="00AD4A48"/>
    <w:rsid w:val="00AE0C03"/>
    <w:rsid w:val="00AE40E2"/>
    <w:rsid w:val="00AE4928"/>
    <w:rsid w:val="00AE4CE1"/>
    <w:rsid w:val="00AF4CC5"/>
    <w:rsid w:val="00B02CB3"/>
    <w:rsid w:val="00B04E9C"/>
    <w:rsid w:val="00B102F7"/>
    <w:rsid w:val="00B11BE8"/>
    <w:rsid w:val="00B1354A"/>
    <w:rsid w:val="00B231A5"/>
    <w:rsid w:val="00B33726"/>
    <w:rsid w:val="00B34CB8"/>
    <w:rsid w:val="00B40CCF"/>
    <w:rsid w:val="00B43413"/>
    <w:rsid w:val="00B51F07"/>
    <w:rsid w:val="00B55AA9"/>
    <w:rsid w:val="00B605B3"/>
    <w:rsid w:val="00B6409D"/>
    <w:rsid w:val="00B65A78"/>
    <w:rsid w:val="00B70EED"/>
    <w:rsid w:val="00B7209C"/>
    <w:rsid w:val="00B754FE"/>
    <w:rsid w:val="00B75D21"/>
    <w:rsid w:val="00B770D9"/>
    <w:rsid w:val="00B82AFD"/>
    <w:rsid w:val="00B82F44"/>
    <w:rsid w:val="00B854DA"/>
    <w:rsid w:val="00B901A9"/>
    <w:rsid w:val="00B94BF6"/>
    <w:rsid w:val="00BA5910"/>
    <w:rsid w:val="00BB3CE8"/>
    <w:rsid w:val="00BB43FD"/>
    <w:rsid w:val="00BC3ED9"/>
    <w:rsid w:val="00BC5032"/>
    <w:rsid w:val="00BD0579"/>
    <w:rsid w:val="00BD1D69"/>
    <w:rsid w:val="00BD45AE"/>
    <w:rsid w:val="00BE7523"/>
    <w:rsid w:val="00BE7E71"/>
    <w:rsid w:val="00BF06EC"/>
    <w:rsid w:val="00BF09D3"/>
    <w:rsid w:val="00BF5744"/>
    <w:rsid w:val="00BF5A88"/>
    <w:rsid w:val="00C00519"/>
    <w:rsid w:val="00C014A9"/>
    <w:rsid w:val="00C02420"/>
    <w:rsid w:val="00C04971"/>
    <w:rsid w:val="00C0615F"/>
    <w:rsid w:val="00C10CCD"/>
    <w:rsid w:val="00C10FB4"/>
    <w:rsid w:val="00C15A97"/>
    <w:rsid w:val="00C16757"/>
    <w:rsid w:val="00C17A11"/>
    <w:rsid w:val="00C25BD9"/>
    <w:rsid w:val="00C41104"/>
    <w:rsid w:val="00C41134"/>
    <w:rsid w:val="00C42CAD"/>
    <w:rsid w:val="00C4400E"/>
    <w:rsid w:val="00C44575"/>
    <w:rsid w:val="00C46B9E"/>
    <w:rsid w:val="00C527C3"/>
    <w:rsid w:val="00C552DE"/>
    <w:rsid w:val="00C55BAE"/>
    <w:rsid w:val="00C609C2"/>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DBD"/>
    <w:rsid w:val="00CF37B7"/>
    <w:rsid w:val="00CF7C33"/>
    <w:rsid w:val="00D025A9"/>
    <w:rsid w:val="00D11596"/>
    <w:rsid w:val="00D15049"/>
    <w:rsid w:val="00D17EF8"/>
    <w:rsid w:val="00D318BB"/>
    <w:rsid w:val="00D31E05"/>
    <w:rsid w:val="00D35E4B"/>
    <w:rsid w:val="00D42313"/>
    <w:rsid w:val="00D45220"/>
    <w:rsid w:val="00D51EF8"/>
    <w:rsid w:val="00D532DF"/>
    <w:rsid w:val="00D550EA"/>
    <w:rsid w:val="00D5683A"/>
    <w:rsid w:val="00D6075F"/>
    <w:rsid w:val="00D64A8A"/>
    <w:rsid w:val="00D64ACA"/>
    <w:rsid w:val="00D74A8F"/>
    <w:rsid w:val="00D8155F"/>
    <w:rsid w:val="00D83830"/>
    <w:rsid w:val="00D8408A"/>
    <w:rsid w:val="00D85984"/>
    <w:rsid w:val="00D8641A"/>
    <w:rsid w:val="00D92897"/>
    <w:rsid w:val="00D9374F"/>
    <w:rsid w:val="00D96664"/>
    <w:rsid w:val="00D9771C"/>
    <w:rsid w:val="00D97BF8"/>
    <w:rsid w:val="00DA399C"/>
    <w:rsid w:val="00DA5E85"/>
    <w:rsid w:val="00DB01F6"/>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267AB"/>
    <w:rsid w:val="00E30C2C"/>
    <w:rsid w:val="00E311DC"/>
    <w:rsid w:val="00E31752"/>
    <w:rsid w:val="00E3534A"/>
    <w:rsid w:val="00E4082C"/>
    <w:rsid w:val="00E4444A"/>
    <w:rsid w:val="00E44DA1"/>
    <w:rsid w:val="00E576B4"/>
    <w:rsid w:val="00E64091"/>
    <w:rsid w:val="00E66470"/>
    <w:rsid w:val="00E67C64"/>
    <w:rsid w:val="00E71BDF"/>
    <w:rsid w:val="00E8267C"/>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53"/>
    <w:rsid w:val="00EF2D9E"/>
    <w:rsid w:val="00EF30B1"/>
    <w:rsid w:val="00EF3BC8"/>
    <w:rsid w:val="00EF7F7D"/>
    <w:rsid w:val="00F003DC"/>
    <w:rsid w:val="00F012AB"/>
    <w:rsid w:val="00F023FE"/>
    <w:rsid w:val="00F06E3E"/>
    <w:rsid w:val="00F07308"/>
    <w:rsid w:val="00F0773C"/>
    <w:rsid w:val="00F10ABD"/>
    <w:rsid w:val="00F1558B"/>
    <w:rsid w:val="00F15B84"/>
    <w:rsid w:val="00F16CBD"/>
    <w:rsid w:val="00F17078"/>
    <w:rsid w:val="00F21394"/>
    <w:rsid w:val="00F32193"/>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7015E"/>
    <w:rsid w:val="00F7297C"/>
    <w:rsid w:val="00F777FA"/>
    <w:rsid w:val="00F828AE"/>
    <w:rsid w:val="00F8540B"/>
    <w:rsid w:val="00F85ED6"/>
    <w:rsid w:val="00F91098"/>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E363C"/>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_mods/t/mod_comment.cfm?type=bill&amp;FolderID=20535&amp;ObjectID=37092',600,480);" TargetMode="External"/><Relationship Id="rId13" Type="http://schemas.openxmlformats.org/officeDocument/2006/relationships/hyperlink" Target="http://apps.lobbytools.com/tools/my.cfm?a=folders&amp;b=view&amp;c=delete&amp;showcomments=none&amp;sessionid=35&amp;type=bill&amp;ID=20535&amp;lstItemID=36999&amp;viewtype=Lon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javascript:pop('_mods/t/mod_comment.cfm?type=bill&amp;FolderID=20535&amp;ObjectID=36999',600,48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hyperlink" Target="http://apps.lobbytools.com/tools/my.cfm?a=folders&amp;b=view&amp;c=delete&amp;showcomments=none&amp;sessionid=35&amp;type=bill&amp;ID=20535&amp;lstItemID=37100&amp;viewtype=Long" TargetMode="External"/><Relationship Id="rId23" Type="http://schemas.openxmlformats.org/officeDocument/2006/relationships/theme" Target="theme/theme1.xml"/><Relationship Id="rId10" Type="http://schemas.openxmlformats.org/officeDocument/2006/relationships/hyperlink" Target="http://apps.lobbytools.com/tools/my.cfm?a=folders&amp;b=view&amp;c=delete&amp;showcomments=none&amp;sessionid=35&amp;type=bill&amp;ID=20535&amp;lstItemID=37092&amp;viewtype=Lo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javascript:pop('_mods/t/mod_comment.cfm?type=bill&amp;FolderID=20535&amp;ObjectID=37100',600,4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2633</Words>
  <Characters>14636</Characters>
  <Application>Microsoft Office Word</Application>
  <DocSecurity>0</DocSecurity>
  <Lines>374</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17206</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2013-10-14T13:05:00Z</cp:lastPrinted>
  <dcterms:created xsi:type="dcterms:W3CDTF">2013-10-14T13:07:00Z</dcterms:created>
  <dcterms:modified xsi:type="dcterms:W3CDTF">2013-10-14T13:07:00Z</dcterms:modified>
  <cp:category> </cp:category>
  <cp:contentStatus> </cp:contentStatus>
</cp:coreProperties>
</file>