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lockText"/>
        <w:jc w:val="center"/>
        <w:rPr>
          <w:b/>
          <w:sz w:val="28"/>
          <w:szCs w:val="28"/>
        </w:rPr>
      </w:pPr>
      <w:r>
        <w:rPr>
          <w:b/>
          <w:sz w:val="28"/>
          <w:szCs w:val="28"/>
        </w:rPr>
        <w:t>The Florida Bar: Real Property, Probate and Trust Law Section</w:t>
      </w:r>
    </w:p>
    <w:p>
      <w:pPr>
        <w:pStyle w:val="BlockText"/>
        <w:jc w:val="center"/>
        <w:rPr>
          <w:b/>
          <w:sz w:val="28"/>
          <w:szCs w:val="28"/>
        </w:rPr>
      </w:pPr>
      <w:r>
        <w:rPr>
          <w:b/>
          <w:sz w:val="28"/>
          <w:szCs w:val="28"/>
        </w:rPr>
        <w:t>Construction Law Committee</w:t>
      </w:r>
    </w:p>
    <w:p>
      <w:pPr>
        <w:pStyle w:val="BlockText"/>
        <w:jc w:val="center"/>
        <w:rPr>
          <w:b/>
        </w:rPr>
      </w:pPr>
    </w:p>
    <w:p>
      <w:pPr>
        <w:pStyle w:val="BlockText"/>
        <w:jc w:val="center"/>
        <w:rPr>
          <w:b/>
          <w:i/>
          <w:sz w:val="28"/>
          <w:szCs w:val="28"/>
          <w:u w:val="single"/>
        </w:rPr>
      </w:pPr>
      <w:r>
        <w:rPr>
          <w:b/>
          <w:i/>
          <w:sz w:val="28"/>
          <w:szCs w:val="28"/>
          <w:u w:val="single"/>
        </w:rPr>
        <w:t>Construction Regulation Subcommittee Monthly Report</w:t>
      </w:r>
    </w:p>
    <w:p>
      <w:pPr>
        <w:pStyle w:val="BlockText"/>
        <w:jc w:val="center"/>
      </w:pPr>
      <w:r>
        <w:t>Month of August 2013</w:t>
      </w:r>
    </w:p>
    <w:p>
      <w:pPr>
        <w:pStyle w:val="BlockText"/>
        <w:rPr>
          <w:b/>
          <w:u w:val="single"/>
        </w:rPr>
      </w:pPr>
    </w:p>
    <w:p>
      <w:pPr>
        <w:pStyle w:val="BlockText"/>
        <w:rPr>
          <w:b/>
          <w:u w:val="single"/>
        </w:rPr>
      </w:pPr>
      <w:r>
        <w:rPr>
          <w:b/>
          <w:u w:val="single"/>
        </w:rPr>
        <w:t>Trail Court Orders:</w:t>
      </w:r>
    </w:p>
    <w:p>
      <w:pPr>
        <w:pStyle w:val="BlockText"/>
        <w:rPr>
          <w:b/>
          <w:u w:val="single"/>
        </w:rPr>
      </w:pPr>
    </w:p>
    <w:p>
      <w:pPr>
        <w:pStyle w:val="BlockText"/>
      </w:pPr>
      <w:r>
        <w:tab/>
      </w:r>
      <w:r>
        <w:rPr>
          <w:i/>
          <w:u w:val="single"/>
        </w:rPr>
        <w:t>Siena At Celebration Master Association v. Winter Park Construction Co. and Charles M. Clark, Inc.</w:t>
      </w:r>
      <w:r>
        <w:t xml:space="preserve"> (3</w:t>
      </w:r>
      <w:r>
        <w:rPr>
          <w:vertAlign w:val="superscript"/>
        </w:rPr>
        <w:t>rd</w:t>
      </w:r>
      <w:r>
        <w:t xml:space="preserve"> party defendant), Case No. 2009-CA-6474, Circuit Court of the Ninth Judicial Circuit in and for Osceola County, Order Granting Defendant's Motion to Dismiss, entered on September 4, 2013 by Honorable Scott Polodna. Prior to the Florida Supreme Court's decision in </w:t>
      </w:r>
      <w:r>
        <w:rPr>
          <w:i/>
          <w:u w:val="single"/>
        </w:rPr>
        <w:t>Tiara Condominium Association, Inc. v. Marsh &amp; McLeannan Companies, Inc.,</w:t>
      </w:r>
      <w:r>
        <w:t xml:space="preserve"> 110 </w:t>
      </w:r>
      <w:proofErr w:type="gramStart"/>
      <w:r>
        <w:t>So</w:t>
      </w:r>
      <w:proofErr w:type="gramEnd"/>
      <w:r>
        <w:t xml:space="preserve">. 3d 399 (Fla. 2013), this trial court had dismissed with prejudice the plaintiff's cause of action in negligence due to the bar of such causes by the economic loss rule. Based on the </w:t>
      </w:r>
      <w:r>
        <w:rPr>
          <w:i/>
          <w:u w:val="single"/>
        </w:rPr>
        <w:t>Tiara</w:t>
      </w:r>
      <w:r>
        <w:t xml:space="preserve"> decision, abolishing the economic loss rule application to other than product liability cases, plaintiff filed a Motion to Amend for the purpose of re-stating a cause of action for negligence, but under this Order the trial court ruled that the </w:t>
      </w:r>
      <w:r>
        <w:rPr>
          <w:i/>
          <w:u w:val="single"/>
        </w:rPr>
        <w:t>Tiara</w:t>
      </w:r>
      <w:r>
        <w:t xml:space="preserve"> decision had no effect on the issues in this case, because under </w:t>
      </w:r>
      <w:r>
        <w:rPr>
          <w:i/>
          <w:u w:val="single"/>
        </w:rPr>
        <w:t>Casa Clara Condominium Association v. Charley Toppino and Sons, Inc.</w:t>
      </w:r>
      <w:r>
        <w:t xml:space="preserve">, 620 So. </w:t>
      </w:r>
      <w:proofErr w:type="gramStart"/>
      <w:r>
        <w:t>2d 1244 (Fla. 1993) the economic loss rule applied to the purchase of homes as a "product."</w:t>
      </w:r>
      <w:proofErr w:type="gramEnd"/>
    </w:p>
    <w:p>
      <w:pPr>
        <w:pStyle w:val="BlockText"/>
        <w:rPr>
          <w:b/>
          <w:u w:val="single"/>
        </w:rPr>
      </w:pPr>
    </w:p>
    <w:p>
      <w:pPr>
        <w:pStyle w:val="BlockText"/>
        <w:rPr>
          <w:b/>
          <w:u w:val="single"/>
        </w:rPr>
      </w:pPr>
      <w:r>
        <w:rPr>
          <w:b/>
          <w:u w:val="single"/>
        </w:rPr>
        <w:t>State Appellate Decisions:</w:t>
      </w:r>
    </w:p>
    <w:p>
      <w:pPr>
        <w:pStyle w:val="BlockText"/>
      </w:pPr>
    </w:p>
    <w:p>
      <w:pPr>
        <w:pStyle w:val="BlockText"/>
      </w:pPr>
      <w:r>
        <w:tab/>
      </w:r>
      <w:r>
        <w:rPr>
          <w:i/>
          <w:u w:val="single"/>
        </w:rPr>
        <w:t xml:space="preserve">Pulte Home Corporation v. Bay </w:t>
      </w:r>
      <w:proofErr w:type="gramStart"/>
      <w:r>
        <w:rPr>
          <w:i/>
          <w:u w:val="single"/>
        </w:rPr>
        <w:t>At Cypress Creek Homeowners'</w:t>
      </w:r>
      <w:proofErr w:type="gramEnd"/>
      <w:r>
        <w:rPr>
          <w:i/>
          <w:u w:val="single"/>
        </w:rPr>
        <w:t xml:space="preserve"> Association, Inc.,</w:t>
      </w:r>
      <w:r>
        <w:t xml:space="preserve"> 38 Fla. L. Weekly, 38 Fla. L. Weekly D1705a, Case No. 2D13-316, filed on August 9, 2013. Trial court denied contractor's motion to compel arbitration on HOA's statutory claim for alleged building code violations pursuant to s. 553.84, Florida Statues, finding that the contractual provision for arbitration applied only to breach of contract claims. Reversed and remanded based on </w:t>
      </w:r>
      <w:r>
        <w:rPr>
          <w:i/>
          <w:u w:val="single"/>
        </w:rPr>
        <w:t>Pulte Home Corp. v. Vermillion Homeowners Ass'n.</w:t>
      </w:r>
      <w:r>
        <w:t xml:space="preserve">, 109 </w:t>
      </w:r>
      <w:proofErr w:type="gramStart"/>
      <w:r>
        <w:t>So</w:t>
      </w:r>
      <w:proofErr w:type="gramEnd"/>
      <w:r>
        <w:t>. 3d 233 (Fla. 2</w:t>
      </w:r>
      <w:r>
        <w:rPr>
          <w:vertAlign w:val="superscript"/>
        </w:rPr>
        <w:t>nd</w:t>
      </w:r>
      <w:r>
        <w:t xml:space="preserve"> DCA 2013), and </w:t>
      </w:r>
      <w:r>
        <w:rPr>
          <w:b/>
          <w:u w:val="single"/>
        </w:rPr>
        <w:t>held</w:t>
      </w:r>
      <w:r>
        <w:t xml:space="preserve"> that: (1) statutory claims are also subject to arbitration agreements; and, (2) subsequent purchasers (non-signatories to contract)  are third party beneficiaries of the contract and can also be compelled to arbitrate.</w:t>
      </w:r>
    </w:p>
    <w:p>
      <w:pPr>
        <w:pStyle w:val="BlockText"/>
      </w:pPr>
    </w:p>
    <w:p>
      <w:pPr>
        <w:pStyle w:val="BlockText"/>
      </w:pPr>
      <w:r>
        <w:tab/>
      </w:r>
      <w:r>
        <w:rPr>
          <w:i/>
          <w:u w:val="single"/>
        </w:rPr>
        <w:t xml:space="preserve">Superior Hospitality Management, LLC. V. Pacific Gateway Concessions, </w:t>
      </w:r>
      <w:proofErr w:type="gramStart"/>
      <w:r>
        <w:rPr>
          <w:i/>
          <w:u w:val="single"/>
        </w:rPr>
        <w:t>LLC</w:t>
      </w:r>
      <w:r>
        <w:t>.,</w:t>
      </w:r>
      <w:proofErr w:type="gramEnd"/>
      <w:r>
        <w:t xml:space="preserve"> 38 Fla. L. Weekly D1799a, Case No. 5D12-4925, filed August 23, 2013. Appeal of order denying motion to dismiss or stay based on "forum non conveniens." However, in the absence of a hearing on that motion, the order was reversed and remanded for proceedings consistent with the four-step analysis under </w:t>
      </w:r>
      <w:r>
        <w:rPr>
          <w:i/>
          <w:u w:val="single"/>
        </w:rPr>
        <w:t>Kinney System, Inc., v. Continental Insurance Co</w:t>
      </w:r>
      <w:r>
        <w:t xml:space="preserve">., 674 </w:t>
      </w:r>
      <w:proofErr w:type="gramStart"/>
      <w:r>
        <w:t>So</w:t>
      </w:r>
      <w:proofErr w:type="gramEnd"/>
      <w:r>
        <w:t xml:space="preserve">. 2d 86 (Fla. 1996) and Rule </w:t>
      </w:r>
      <w:proofErr w:type="gramStart"/>
      <w:r>
        <w:t>1.061(a), FRCP.</w:t>
      </w:r>
      <w:proofErr w:type="gramEnd"/>
    </w:p>
    <w:p>
      <w:pPr>
        <w:pStyle w:val="BlockText"/>
      </w:pPr>
      <w:r>
        <w:tab/>
      </w:r>
    </w:p>
    <w:p>
      <w:pPr>
        <w:pStyle w:val="BlockText"/>
      </w:pPr>
      <w:r>
        <w:rPr>
          <w:b/>
          <w:u w:val="single"/>
        </w:rPr>
        <w:t>DOAH Orders:</w:t>
      </w:r>
      <w:r>
        <w:t xml:space="preserve"> </w:t>
      </w:r>
    </w:p>
    <w:p>
      <w:pPr>
        <w:pStyle w:val="BlockText"/>
      </w:pPr>
    </w:p>
    <w:p>
      <w:pPr>
        <w:pStyle w:val="BlockText"/>
        <w:ind w:firstLine="720"/>
      </w:pPr>
      <w:r>
        <w:t>(Nothing to report)</w:t>
      </w:r>
    </w:p>
    <w:p>
      <w:pPr>
        <w:pStyle w:val="BlockText"/>
      </w:pPr>
    </w:p>
    <w:p>
      <w:pPr>
        <w:pStyle w:val="BlockText"/>
        <w:rPr>
          <w:b/>
          <w:u w:val="single"/>
        </w:rPr>
      </w:pPr>
      <w:r>
        <w:rPr>
          <w:b/>
          <w:u w:val="single"/>
        </w:rPr>
        <w:t>State Agency Actions:</w:t>
      </w:r>
    </w:p>
    <w:p>
      <w:pPr>
        <w:pStyle w:val="BlockText"/>
      </w:pPr>
    </w:p>
    <w:p>
      <w:pPr>
        <w:pStyle w:val="BlockText"/>
      </w:pPr>
      <w:r>
        <w:t xml:space="preserve">A. </w:t>
      </w:r>
      <w:r>
        <w:rPr>
          <w:b/>
        </w:rPr>
        <w:t>Department of Business and Professional Regulation.</w:t>
      </w:r>
    </w:p>
    <w:p>
      <w:pPr>
        <w:pStyle w:val="BlockText"/>
        <w:ind w:left="720"/>
      </w:pPr>
    </w:p>
    <w:p>
      <w:pPr>
        <w:pStyle w:val="BlockText"/>
        <w:numPr>
          <w:ilvl w:val="0"/>
          <w:numId w:val="32"/>
        </w:numPr>
        <w:rPr>
          <w:b/>
        </w:rPr>
      </w:pPr>
      <w:r>
        <w:rPr>
          <w:u w:val="single"/>
        </w:rPr>
        <w:t>Construction Industry Licensing Board</w:t>
      </w:r>
      <w:r>
        <w:t xml:space="preserve"> – Chapter 489, Part I, FS and Chapter 61G4 FAC: </w:t>
      </w:r>
    </w:p>
    <w:p>
      <w:pPr>
        <w:pStyle w:val="BlockText"/>
        <w:ind w:left="1080"/>
        <w:rPr>
          <w:b/>
        </w:rPr>
      </w:pPr>
    </w:p>
    <w:p>
      <w:pPr>
        <w:pStyle w:val="BlockText"/>
        <w:numPr>
          <w:ilvl w:val="1"/>
          <w:numId w:val="32"/>
        </w:numPr>
        <w:rPr>
          <w:b/>
        </w:rPr>
      </w:pPr>
      <w:r>
        <w:t>This board has proposed adopted, repealed or amended the following rules (if any): Nothing to report.</w:t>
      </w:r>
    </w:p>
    <w:p>
      <w:pPr>
        <w:pStyle w:val="BlockText"/>
        <w:rPr>
          <w:b/>
        </w:rPr>
      </w:pPr>
    </w:p>
    <w:p>
      <w:pPr>
        <w:pStyle w:val="BlockText"/>
        <w:numPr>
          <w:ilvl w:val="1"/>
          <w:numId w:val="32"/>
        </w:numPr>
      </w:pPr>
      <w:r>
        <w:t>This board has received or disposed of the following Petitions for Declaratory Statement (if any):</w:t>
      </w:r>
    </w:p>
    <w:p>
      <w:pPr>
        <w:pStyle w:val="BlockText"/>
        <w:ind w:left="1440"/>
      </w:pPr>
    </w:p>
    <w:p>
      <w:pPr>
        <w:pStyle w:val="BlockText"/>
        <w:numPr>
          <w:ilvl w:val="2"/>
          <w:numId w:val="32"/>
        </w:numPr>
      </w:pPr>
      <w:r>
        <w:t>Received on July 13, 2013 from Utility Service Company, Inc., seeking a determination of whether a Tower Specialty license is sufficient to allow for the installation of sprayers, aerators and mixers into a water storage tank.</w:t>
      </w:r>
    </w:p>
    <w:p>
      <w:pPr>
        <w:pStyle w:val="BlockText"/>
        <w:ind w:left="2520"/>
      </w:pPr>
    </w:p>
    <w:p>
      <w:pPr>
        <w:pStyle w:val="BlockText"/>
        <w:numPr>
          <w:ilvl w:val="2"/>
          <w:numId w:val="32"/>
        </w:numPr>
      </w:pPr>
      <w:r>
        <w:t xml:space="preserve">Received on August 15, 2013 from Mark Hickinbotham, P. E., seeking a determination of whether 489.105(3)(a) allows a licensed certified general contractor can self-perform the installation of chemical feed piping and pumping systems for bulk chlorine and sodium hypochlorite into a wastewater treatment plant without the use of a Pollutant Storage Systems, Mechanical or Plumbing contractor license. </w:t>
      </w:r>
    </w:p>
    <w:p>
      <w:pPr>
        <w:pStyle w:val="BlockText"/>
        <w:ind w:left="2340"/>
      </w:pPr>
    </w:p>
    <w:p>
      <w:pPr>
        <w:pStyle w:val="BlockText"/>
        <w:numPr>
          <w:ilvl w:val="2"/>
          <w:numId w:val="32"/>
        </w:numPr>
      </w:pPr>
      <w:r>
        <w:t>Reconsidered and vacated on August 16, 2013, for lack of standing a Declaratory Statement DS 2013-043 that had been issued to Sun Star Energy regarding the need for a licensed roofing contractor to install solar panels to rooftop attachments and penetrations.</w:t>
      </w:r>
    </w:p>
    <w:p>
      <w:pPr>
        <w:pStyle w:val="BlockText"/>
      </w:pPr>
    </w:p>
    <w:p>
      <w:pPr>
        <w:pStyle w:val="BlockText"/>
        <w:numPr>
          <w:ilvl w:val="1"/>
          <w:numId w:val="32"/>
        </w:numPr>
      </w:pPr>
      <w:r>
        <w:t>This board has received or disposed of the following Petition for Variance or Waiver (if any): None.</w:t>
      </w:r>
    </w:p>
    <w:p>
      <w:pPr>
        <w:pStyle w:val="BlockText"/>
        <w:ind w:left="1800"/>
      </w:pPr>
    </w:p>
    <w:p>
      <w:pPr>
        <w:pStyle w:val="BlockText"/>
        <w:numPr>
          <w:ilvl w:val="0"/>
          <w:numId w:val="32"/>
        </w:numPr>
      </w:pPr>
      <w:r>
        <w:rPr>
          <w:u w:val="single"/>
        </w:rPr>
        <w:t>Electrical Contracting Licensing Board</w:t>
      </w:r>
      <w:r>
        <w:t xml:space="preserve"> (includes both electricians and alarm contractors) – Chapter 489, Part II, FS and 61G6, FAC</w:t>
      </w:r>
    </w:p>
    <w:p>
      <w:pPr>
        <w:pStyle w:val="BlockText"/>
      </w:pPr>
    </w:p>
    <w:p>
      <w:pPr>
        <w:pStyle w:val="BlockText"/>
        <w:numPr>
          <w:ilvl w:val="1"/>
          <w:numId w:val="32"/>
        </w:numPr>
      </w:pPr>
      <w:r>
        <w:t>This board has proposed to amend the following rules (if any): None</w:t>
      </w:r>
    </w:p>
    <w:p>
      <w:pPr>
        <w:pStyle w:val="BlockText"/>
        <w:ind w:left="1800"/>
      </w:pPr>
    </w:p>
    <w:p>
      <w:pPr>
        <w:pStyle w:val="BlockText"/>
        <w:numPr>
          <w:ilvl w:val="1"/>
          <w:numId w:val="32"/>
        </w:numPr>
      </w:pPr>
      <w:r>
        <w:t xml:space="preserve">This board has received or disposed of the following Petitions for Declaratory Statement: None. </w:t>
      </w:r>
    </w:p>
    <w:p>
      <w:pPr>
        <w:pStyle w:val="BlockText"/>
        <w:ind w:left="1800"/>
      </w:pPr>
    </w:p>
    <w:p>
      <w:pPr>
        <w:pStyle w:val="BlockText"/>
        <w:numPr>
          <w:ilvl w:val="1"/>
          <w:numId w:val="32"/>
        </w:numPr>
      </w:pPr>
      <w:r>
        <w:t xml:space="preserve">This board has received or disposed of the following Petitions for Variance or Waiver: </w:t>
      </w:r>
    </w:p>
    <w:p>
      <w:pPr>
        <w:pStyle w:val="BlockText"/>
        <w:ind w:left="1800"/>
      </w:pPr>
    </w:p>
    <w:p>
      <w:pPr>
        <w:pStyle w:val="BlockText"/>
        <w:numPr>
          <w:ilvl w:val="2"/>
          <w:numId w:val="32"/>
        </w:numPr>
      </w:pPr>
      <w:r>
        <w:t xml:space="preserve">Denied on August 16, 2013, a petition received on June 11, 2013 from Daniel </w:t>
      </w:r>
      <w:proofErr w:type="gramStart"/>
      <w:r>
        <w:t>Hustry,</w:t>
      </w:r>
      <w:proofErr w:type="gramEnd"/>
      <w:r>
        <w:t xml:space="preserve"> regarding Rule 61G6-6.017 regarding the four-year validity of a passing score on any portion of the examination for failure to demonstrate unfairness or substantial hardship.</w:t>
      </w:r>
    </w:p>
    <w:p>
      <w:pPr>
        <w:pStyle w:val="BlockText"/>
        <w:ind w:left="2520"/>
      </w:pPr>
    </w:p>
    <w:p>
      <w:pPr>
        <w:pStyle w:val="BlockText"/>
        <w:numPr>
          <w:ilvl w:val="2"/>
          <w:numId w:val="32"/>
        </w:numPr>
      </w:pPr>
      <w:r>
        <w:lastRenderedPageBreak/>
        <w:t xml:space="preserve">Granted on August 16, 2013, a petition received on June 12, 2013 from Matthew T. </w:t>
      </w:r>
      <w:proofErr w:type="gramStart"/>
      <w:r>
        <w:t>Wenzel,</w:t>
      </w:r>
      <w:proofErr w:type="gramEnd"/>
      <w:r>
        <w:t xml:space="preserve"> regarding Rule 61G6-5.002 regarding the use of the department form for certification by examination or by endorsement.</w:t>
      </w:r>
    </w:p>
    <w:p>
      <w:pPr>
        <w:pStyle w:val="BlockText"/>
        <w:ind w:left="2520"/>
      </w:pPr>
    </w:p>
    <w:p>
      <w:pPr>
        <w:pStyle w:val="BlockText"/>
        <w:numPr>
          <w:ilvl w:val="2"/>
          <w:numId w:val="32"/>
        </w:numPr>
      </w:pPr>
      <w:r>
        <w:t>Granted on August 16, 2013, a petition received on June 12, 2013 from William John Wenzel, Jr.</w:t>
      </w:r>
      <w:proofErr w:type="gramStart"/>
      <w:r>
        <w:t>,</w:t>
      </w:r>
      <w:proofErr w:type="gramEnd"/>
      <w:r>
        <w:t xml:space="preserve"> regarding Rule 61G6-5.002 regarding the use of the department form for certification by examination or by endorsement.</w:t>
      </w:r>
    </w:p>
    <w:p>
      <w:pPr>
        <w:pStyle w:val="BlockText"/>
        <w:ind w:left="2520"/>
      </w:pPr>
    </w:p>
    <w:p>
      <w:pPr>
        <w:pStyle w:val="BlockText"/>
        <w:numPr>
          <w:ilvl w:val="2"/>
          <w:numId w:val="32"/>
        </w:numPr>
      </w:pPr>
      <w:r>
        <w:t>Received on August 27, 2013, a petition from Donald R. Cox, Jr., regarding the application of Rule 61G6-5.002, regarding the use of the department form for certification by examination or by endorsement.</w:t>
      </w:r>
    </w:p>
    <w:p>
      <w:pPr>
        <w:pStyle w:val="BlockText"/>
      </w:pPr>
    </w:p>
    <w:p>
      <w:pPr>
        <w:pStyle w:val="BlockText"/>
        <w:numPr>
          <w:ilvl w:val="0"/>
          <w:numId w:val="32"/>
        </w:numPr>
      </w:pPr>
      <w:r>
        <w:rPr>
          <w:u w:val="single"/>
        </w:rPr>
        <w:t>Board of Architecture and Interior Design</w:t>
      </w:r>
      <w:r>
        <w:t xml:space="preserve"> – Chapter 481, Part I, FS and 61G1 FAC: </w:t>
      </w:r>
    </w:p>
    <w:p>
      <w:pPr>
        <w:pStyle w:val="BlockText"/>
        <w:ind w:left="1080"/>
      </w:pPr>
    </w:p>
    <w:p>
      <w:pPr>
        <w:pStyle w:val="BlockText"/>
        <w:numPr>
          <w:ilvl w:val="1"/>
          <w:numId w:val="32"/>
        </w:numPr>
      </w:pPr>
      <w:r>
        <w:t xml:space="preserve">This board has proposed, adopted, repealed or amended the following rules (if any): </w:t>
      </w:r>
    </w:p>
    <w:p>
      <w:pPr>
        <w:pStyle w:val="BlockText"/>
        <w:ind w:left="1800"/>
      </w:pPr>
    </w:p>
    <w:p>
      <w:pPr>
        <w:pStyle w:val="BlockText"/>
        <w:numPr>
          <w:ilvl w:val="2"/>
          <w:numId w:val="32"/>
        </w:numPr>
      </w:pPr>
      <w:r>
        <w:t>Amend Rule 61G1-11.013 to update definitions as used in s. 481.221(10), F. S.</w:t>
      </w:r>
    </w:p>
    <w:p>
      <w:pPr>
        <w:pStyle w:val="BlockText"/>
        <w:ind w:left="2520"/>
      </w:pPr>
    </w:p>
    <w:p>
      <w:pPr>
        <w:pStyle w:val="BlockText"/>
        <w:numPr>
          <w:ilvl w:val="2"/>
          <w:numId w:val="32"/>
        </w:numPr>
      </w:pPr>
      <w:r>
        <w:t>Amend Rule 61G1-11.014 to clarify the criteria for investigators and consultants.</w:t>
      </w:r>
    </w:p>
    <w:p>
      <w:pPr>
        <w:pStyle w:val="BlockText"/>
        <w:numPr>
          <w:ilvl w:val="2"/>
          <w:numId w:val="32"/>
        </w:numPr>
      </w:pPr>
      <w:r>
        <w:t>Repeal Rule 61G11.016 regarding Interior Design Committee.</w:t>
      </w:r>
    </w:p>
    <w:p>
      <w:pPr>
        <w:pStyle w:val="BlockText"/>
        <w:ind w:left="2520"/>
      </w:pPr>
    </w:p>
    <w:p>
      <w:pPr>
        <w:pStyle w:val="BlockText"/>
        <w:numPr>
          <w:ilvl w:val="2"/>
          <w:numId w:val="32"/>
        </w:numPr>
      </w:pPr>
      <w:r>
        <w:t>Amend Rules 61G1-16.001, 16.002 and 16.003 to update the description of Architect's and Interior Designer seals.</w:t>
      </w:r>
    </w:p>
    <w:p>
      <w:pPr>
        <w:pStyle w:val="BlockText"/>
        <w:ind w:left="2520"/>
      </w:pPr>
    </w:p>
    <w:p>
      <w:pPr>
        <w:pStyle w:val="BlockText"/>
        <w:numPr>
          <w:ilvl w:val="2"/>
          <w:numId w:val="32"/>
        </w:numPr>
      </w:pPr>
      <w:r>
        <w:t>Changed proposed amendment to Rule 61G-22.03 regarding educational requirements for Interior Designers.</w:t>
      </w:r>
    </w:p>
    <w:p>
      <w:pPr>
        <w:pStyle w:val="BlockText"/>
      </w:pPr>
    </w:p>
    <w:p>
      <w:pPr>
        <w:pStyle w:val="BlockText"/>
        <w:numPr>
          <w:ilvl w:val="1"/>
          <w:numId w:val="32"/>
        </w:numPr>
      </w:pPr>
      <w:r>
        <w:t>This board has received or disposed of the following Petitions for Declaratory Statement (if any): None noticed.</w:t>
      </w:r>
    </w:p>
    <w:p>
      <w:pPr>
        <w:pStyle w:val="ListParagraph"/>
      </w:pPr>
    </w:p>
    <w:p>
      <w:pPr>
        <w:pStyle w:val="BlockText"/>
        <w:numPr>
          <w:ilvl w:val="1"/>
          <w:numId w:val="32"/>
        </w:numPr>
      </w:pPr>
      <w:r>
        <w:t>This board has received or disposed of the following Petitions for Variance or Waiver (if any): None noticed.</w:t>
      </w:r>
    </w:p>
    <w:p>
      <w:pPr>
        <w:pStyle w:val="BlockText"/>
      </w:pPr>
    </w:p>
    <w:p>
      <w:pPr>
        <w:pStyle w:val="BlockText"/>
        <w:numPr>
          <w:ilvl w:val="0"/>
          <w:numId w:val="32"/>
        </w:numPr>
      </w:pPr>
      <w:r>
        <w:rPr>
          <w:u w:val="single"/>
        </w:rPr>
        <w:t>Board of Landscape Architecture</w:t>
      </w:r>
      <w:r>
        <w:t xml:space="preserve"> – Chapter 481, Part II, FS and 61G10 FAC:  Nothing noticed.</w:t>
      </w:r>
    </w:p>
    <w:p/>
    <w:p>
      <w:pPr>
        <w:pStyle w:val="BlockText"/>
        <w:numPr>
          <w:ilvl w:val="0"/>
          <w:numId w:val="32"/>
        </w:numPr>
      </w:pPr>
      <w:r>
        <w:rPr>
          <w:u w:val="single"/>
        </w:rPr>
        <w:t>Board of Professional Engineers</w:t>
      </w:r>
      <w:r>
        <w:t xml:space="preserve"> – Chapter 471, FS and 61G15 FAC: </w:t>
      </w:r>
    </w:p>
    <w:p>
      <w:pPr>
        <w:pStyle w:val="BlockText"/>
      </w:pPr>
    </w:p>
    <w:p>
      <w:pPr>
        <w:pStyle w:val="BlockText"/>
        <w:numPr>
          <w:ilvl w:val="1"/>
          <w:numId w:val="32"/>
        </w:numPr>
      </w:pPr>
      <w:r>
        <w:t>This board has proposed adopted, repealed or amended the following rules (if any):</w:t>
      </w:r>
    </w:p>
    <w:p>
      <w:pPr>
        <w:pStyle w:val="BlockText"/>
        <w:ind w:left="1800"/>
      </w:pPr>
    </w:p>
    <w:p>
      <w:pPr>
        <w:pStyle w:val="BlockText"/>
        <w:numPr>
          <w:ilvl w:val="2"/>
          <w:numId w:val="32"/>
        </w:numPr>
      </w:pPr>
      <w:r>
        <w:t xml:space="preserve">Amend Rule 61G15-19.0051 regarding use of Notice of Non-compliance. </w:t>
      </w:r>
    </w:p>
    <w:p>
      <w:pPr>
        <w:pStyle w:val="BlockText"/>
        <w:ind w:left="2520"/>
      </w:pPr>
    </w:p>
    <w:p>
      <w:pPr>
        <w:pStyle w:val="BlockText"/>
        <w:numPr>
          <w:ilvl w:val="2"/>
          <w:numId w:val="32"/>
        </w:numPr>
      </w:pPr>
      <w:r>
        <w:t>Amend Rule 61G15-19.0071 regarding the use of Citations.</w:t>
      </w:r>
    </w:p>
    <w:p>
      <w:pPr>
        <w:pStyle w:val="BlockText"/>
        <w:numPr>
          <w:ilvl w:val="2"/>
          <w:numId w:val="32"/>
        </w:numPr>
      </w:pPr>
      <w:r>
        <w:lastRenderedPageBreak/>
        <w:t>Amend Rule 61G15-20-.0010 to incorporate the revised application for licensure by examination.</w:t>
      </w:r>
    </w:p>
    <w:p>
      <w:pPr>
        <w:pStyle w:val="BlockText"/>
        <w:ind w:left="2520"/>
      </w:pPr>
    </w:p>
    <w:p>
      <w:pPr>
        <w:pStyle w:val="BlockText"/>
        <w:numPr>
          <w:ilvl w:val="2"/>
          <w:numId w:val="32"/>
        </w:numPr>
      </w:pPr>
      <w:r>
        <w:t>Amend Rule 61G15-20-.0010 to incorporate the revised application for licensure by endorsement.</w:t>
      </w:r>
    </w:p>
    <w:p>
      <w:pPr>
        <w:pStyle w:val="BlockText"/>
      </w:pPr>
    </w:p>
    <w:p>
      <w:pPr>
        <w:pStyle w:val="BlockText"/>
        <w:numPr>
          <w:ilvl w:val="2"/>
          <w:numId w:val="32"/>
        </w:numPr>
      </w:pPr>
      <w:r>
        <w:t>Amend Rule 61G15-30.009 regarding minimum retention of records.</w:t>
      </w:r>
    </w:p>
    <w:p>
      <w:pPr>
        <w:pStyle w:val="BlockText"/>
        <w:ind w:left="2520"/>
      </w:pPr>
    </w:p>
    <w:p>
      <w:pPr>
        <w:pStyle w:val="BlockText"/>
        <w:numPr>
          <w:ilvl w:val="2"/>
          <w:numId w:val="32"/>
        </w:numPr>
      </w:pPr>
      <w:r>
        <w:t>Amend Rule 61G15-35.003 to incorporate the revised "Special Inspector Application and Instructions," form FBPE/TBE/006.</w:t>
      </w:r>
    </w:p>
    <w:p>
      <w:pPr>
        <w:pStyle w:val="BlockText"/>
        <w:ind w:left="1800"/>
      </w:pPr>
    </w:p>
    <w:p>
      <w:pPr>
        <w:pStyle w:val="BlockText"/>
        <w:numPr>
          <w:ilvl w:val="1"/>
          <w:numId w:val="32"/>
        </w:numPr>
      </w:pPr>
      <w:r>
        <w:t>This board has received or disposed of the following Petitions for Declaratory Statement (if any): Received on July 29, 2013, from Mark Mathews regarding the applicability of ss. 468.602, 468.603, 471.045 and 481.222, F. S. to a licensed engineer servicing as a full-time employee of a local government to perform the services of a building code inspector or plans examiner without being licensed pursuant to Part XII, Chapter 468, F. S.</w:t>
      </w:r>
    </w:p>
    <w:p>
      <w:pPr>
        <w:pStyle w:val="BlockText"/>
        <w:ind w:left="1800"/>
      </w:pPr>
    </w:p>
    <w:p>
      <w:pPr>
        <w:pStyle w:val="BlockText"/>
        <w:numPr>
          <w:ilvl w:val="1"/>
          <w:numId w:val="32"/>
        </w:numPr>
      </w:pPr>
      <w:r>
        <w:t>This board has received or disposed of the following Petitions for Variance or Waiver (if any): None noticed.</w:t>
      </w:r>
    </w:p>
    <w:p>
      <w:pPr>
        <w:pStyle w:val="BlockText"/>
        <w:ind w:left="1440"/>
      </w:pPr>
      <w:r>
        <w:tab/>
      </w:r>
    </w:p>
    <w:p>
      <w:pPr>
        <w:pStyle w:val="BlockText"/>
        <w:numPr>
          <w:ilvl w:val="0"/>
          <w:numId w:val="32"/>
        </w:numPr>
      </w:pPr>
      <w:r>
        <w:rPr>
          <w:u w:val="single"/>
        </w:rPr>
        <w:t>Building Code Administrators and Inspectors</w:t>
      </w:r>
      <w:r>
        <w:t xml:space="preserve"> Board – Chapter 468, Part XII and 61G19 FAC: Nothing to report, except DBRP change to Rule 61-35.008 on application forms.</w:t>
      </w:r>
    </w:p>
    <w:p>
      <w:pPr>
        <w:pStyle w:val="BlockText"/>
        <w:ind w:left="1440"/>
      </w:pPr>
    </w:p>
    <w:p>
      <w:pPr>
        <w:pStyle w:val="BlockText"/>
        <w:numPr>
          <w:ilvl w:val="0"/>
          <w:numId w:val="32"/>
        </w:numPr>
      </w:pPr>
      <w:r>
        <w:rPr>
          <w:u w:val="single"/>
        </w:rPr>
        <w:t>Florida Building Commission</w:t>
      </w:r>
      <w:r>
        <w:rPr>
          <w:rStyle w:val="FootnoteReference"/>
          <w:u w:val="single"/>
        </w:rPr>
        <w:footnoteReference w:id="1"/>
      </w:r>
      <w:r>
        <w:t xml:space="preserve"> – Chapter 553, Part IV and Chapter 61G20, FAC): </w:t>
      </w:r>
    </w:p>
    <w:p>
      <w:pPr>
        <w:pStyle w:val="BlockText"/>
        <w:ind w:left="1080"/>
      </w:pPr>
    </w:p>
    <w:p>
      <w:pPr>
        <w:pStyle w:val="BlockText"/>
        <w:numPr>
          <w:ilvl w:val="1"/>
          <w:numId w:val="32"/>
        </w:numPr>
      </w:pPr>
      <w:r>
        <w:t>This board has proposed adopted, repealed or amended the following rules (if any): Nothing noticed.</w:t>
      </w:r>
    </w:p>
    <w:p>
      <w:pPr>
        <w:pStyle w:val="BlockText"/>
        <w:ind w:left="1800"/>
      </w:pPr>
    </w:p>
    <w:p>
      <w:pPr>
        <w:pStyle w:val="BlockText"/>
        <w:numPr>
          <w:ilvl w:val="1"/>
          <w:numId w:val="32"/>
        </w:numPr>
      </w:pPr>
      <w:r>
        <w:t>This board has received or disposed of the following Petitions for Declaratory Statement: Nothing noticed.</w:t>
      </w:r>
    </w:p>
    <w:p>
      <w:pPr>
        <w:pStyle w:val="BlockText"/>
        <w:ind w:left="1800"/>
      </w:pPr>
    </w:p>
    <w:p>
      <w:pPr>
        <w:pStyle w:val="BlockText"/>
        <w:ind w:firstLine="720"/>
      </w:pPr>
      <w:r>
        <w:t xml:space="preserve">8. </w:t>
      </w:r>
      <w:r>
        <w:rPr>
          <w:u w:val="single"/>
        </w:rPr>
        <w:t>DBPR/Home Inspectors:</w:t>
      </w:r>
      <w:r>
        <w:t xml:space="preserve"> Nothing to report.</w:t>
      </w:r>
    </w:p>
    <w:p>
      <w:pPr>
        <w:pStyle w:val="BlockText"/>
      </w:pPr>
    </w:p>
    <w:p>
      <w:pPr>
        <w:pStyle w:val="BlockText"/>
        <w:ind w:left="720"/>
      </w:pPr>
      <w:r>
        <w:t xml:space="preserve">9. </w:t>
      </w:r>
      <w:r>
        <w:rPr>
          <w:u w:val="single"/>
        </w:rPr>
        <w:t>Board of Professional Geologists:</w:t>
      </w:r>
      <w:r>
        <w:t xml:space="preserve"> Chapter 492, Florida Statutes, and Rule Chapter 61G16, F.A.C. (Nothing to report):</w:t>
      </w:r>
    </w:p>
    <w:p>
      <w:pPr>
        <w:pStyle w:val="BlockText"/>
        <w:ind w:left="720"/>
      </w:pPr>
    </w:p>
    <w:p>
      <w:pPr>
        <w:pStyle w:val="BlockText"/>
        <w:ind w:left="1080"/>
        <w:rPr>
          <w:rStyle w:val="text"/>
          <w:rFonts w:ascii="Verdana" w:hAnsi="Verdana"/>
          <w:color w:val="000080"/>
          <w:sz w:val="20"/>
          <w:szCs w:val="20"/>
        </w:rPr>
      </w:pPr>
      <w:r>
        <w:rPr>
          <w:rStyle w:val="text"/>
          <w:rFonts w:ascii="Verdana" w:hAnsi="Verdana"/>
          <w:color w:val="000080"/>
          <w:sz w:val="20"/>
          <w:szCs w:val="20"/>
        </w:rPr>
        <w:t xml:space="preserve">“Geology”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w:t>
      </w:r>
      <w:r>
        <w:rPr>
          <w:rStyle w:val="text"/>
          <w:rFonts w:ascii="Verdana" w:hAnsi="Verdana"/>
          <w:color w:val="000080"/>
          <w:sz w:val="20"/>
          <w:szCs w:val="20"/>
        </w:rPr>
        <w:lastRenderedPageBreak/>
        <w:t>cause changes in the earth; and the utilization of this knowledge of the earth and its solids, fluids, and gases, and their collective properties and processes, for the benefit of humankind.</w:t>
      </w:r>
    </w:p>
    <w:p>
      <w:pPr>
        <w:pStyle w:val="BlockText"/>
      </w:pPr>
    </w:p>
    <w:p>
      <w:pPr>
        <w:pStyle w:val="BlockText"/>
        <w:ind w:left="720"/>
      </w:pPr>
      <w:r>
        <w:t>10</w:t>
      </w:r>
      <w:r>
        <w:rPr>
          <w:u w:val="single"/>
        </w:rPr>
        <w:t>. Division of Hotels and Restaurants: Elevator Safety</w:t>
      </w:r>
      <w:r>
        <w:t xml:space="preserve"> - Chapter 399, Florida Statutes (which excludes private residential elevators), and Chapter 61C-5, F.A.C. </w:t>
      </w:r>
      <w:proofErr w:type="gramStart"/>
      <w:r>
        <w:t>Nothing to report.</w:t>
      </w:r>
      <w:proofErr w:type="gramEnd"/>
    </w:p>
    <w:p>
      <w:pPr>
        <w:pStyle w:val="BlockText"/>
      </w:pPr>
    </w:p>
    <w:p>
      <w:pPr>
        <w:pStyle w:val="BlockText"/>
        <w:rPr>
          <w:b/>
        </w:rPr>
      </w:pPr>
      <w:r>
        <w:rPr>
          <w:b/>
        </w:rPr>
        <w:t xml:space="preserve">B. Department of Environmental Protection: </w:t>
      </w:r>
    </w:p>
    <w:p>
      <w:pPr>
        <w:pStyle w:val="BlockText"/>
        <w:rPr>
          <w:b/>
        </w:rPr>
      </w:pPr>
    </w:p>
    <w:p>
      <w:pPr>
        <w:pStyle w:val="BlockText"/>
        <w:ind w:left="720"/>
      </w:pPr>
      <w:r>
        <w:t>1. Water Well Contractors: Chapter 373, Part II (licensing and regulation): House Bill 999, effective July 1, 2013, will (unless vetoed) repeal Rule 62-531-340(1</w:t>
      </w:r>
      <w:proofErr w:type="gramStart"/>
      <w:r>
        <w:t>)(</w:t>
      </w:r>
      <w:proofErr w:type="gramEnd"/>
      <w:r>
        <w:t>d), which is a $14 per CEU fee for license renewal.</w:t>
      </w:r>
    </w:p>
    <w:p>
      <w:pPr>
        <w:pStyle w:val="BlockText"/>
      </w:pPr>
    </w:p>
    <w:p>
      <w:pPr>
        <w:pStyle w:val="BlockText"/>
      </w:pPr>
      <w:r>
        <w:tab/>
        <w:t>2. Consumptive Use Permits: Chapter 373, Part II: Noting to report.</w:t>
      </w:r>
    </w:p>
    <w:p>
      <w:pPr>
        <w:pStyle w:val="BlockText"/>
        <w:ind w:left="720"/>
      </w:pPr>
    </w:p>
    <w:p>
      <w:pPr>
        <w:pStyle w:val="BlockText"/>
        <w:rPr>
          <w:b/>
        </w:rPr>
      </w:pPr>
      <w:r>
        <w:rPr>
          <w:b/>
        </w:rPr>
        <w:t>C. Department of Health</w:t>
      </w:r>
      <w:r>
        <w:t xml:space="preserve">: </w:t>
      </w:r>
      <w:r>
        <w:rPr>
          <w:b/>
        </w:rPr>
        <w:t xml:space="preserve">Water Quality/Septic Tanks – Chapter 381 and 64E FAC: Chapter 2012-184, Laws of Florida, </w:t>
      </w:r>
      <w:r>
        <w:rPr>
          <w:b/>
          <w:u w:val="single"/>
        </w:rPr>
        <w:t>effective April 27, 2012</w:t>
      </w:r>
      <w:r>
        <w:rPr>
          <w:b/>
        </w:rPr>
        <w:t xml:space="preserve">, made the following changes: </w:t>
      </w:r>
    </w:p>
    <w:p>
      <w:pPr>
        <w:pStyle w:val="ListParagraph"/>
      </w:pPr>
    </w:p>
    <w:p>
      <w:pPr>
        <w:pStyle w:val="BlockText"/>
        <w:ind w:left="720"/>
      </w:pPr>
      <w:r>
        <w:t>Reminder: The Department of Health’s authority for plan review and approval of swimming pools and bathing pools was repealed and given to local government in accordance with the Florida Building Code.</w:t>
      </w:r>
    </w:p>
    <w:p>
      <w:pPr>
        <w:pStyle w:val="BlockText"/>
        <w:ind w:left="720"/>
        <w:rPr>
          <w:b/>
        </w:rPr>
      </w:pPr>
    </w:p>
    <w:p>
      <w:pPr>
        <w:pStyle w:val="BlockText"/>
        <w:ind w:left="720"/>
        <w:rPr>
          <w:b/>
        </w:rPr>
      </w:pPr>
      <w:r>
        <w:t>Reminder: 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jurisdictions have opted to implement such a program at this time.</w:t>
      </w:r>
    </w:p>
    <w:p>
      <w:pPr>
        <w:pStyle w:val="ListParagraph"/>
      </w:pPr>
    </w:p>
    <w:p>
      <w:pPr>
        <w:pStyle w:val="BlockText"/>
      </w:pPr>
      <w:r>
        <w:rPr>
          <w:b/>
        </w:rPr>
        <w:t>D. Department of Financial Services</w:t>
      </w:r>
      <w:r>
        <w:t xml:space="preserve">: </w:t>
      </w:r>
    </w:p>
    <w:p>
      <w:pPr>
        <w:pStyle w:val="BlockText"/>
        <w:ind w:left="720"/>
      </w:pPr>
    </w:p>
    <w:p>
      <w:pPr>
        <w:pStyle w:val="BlockText"/>
        <w:ind w:firstLine="360"/>
      </w:pPr>
      <w:r>
        <w:t>1. Boiler Safety Act - Chapter 554, F. S., and Chapter 69A-51, F.A.C.: Nothing to report.</w:t>
      </w:r>
    </w:p>
    <w:p>
      <w:pPr>
        <w:pStyle w:val="BlockText"/>
        <w:ind w:left="720"/>
      </w:pPr>
    </w:p>
    <w:p>
      <w:pPr>
        <w:pStyle w:val="BlockText"/>
        <w:ind w:firstLine="360"/>
      </w:pPr>
      <w:r>
        <w:t xml:space="preserve">2. Workers’ Compensation Insurance – Chapter 440 and 69L FAC: </w:t>
      </w:r>
    </w:p>
    <w:p>
      <w:pPr>
        <w:pStyle w:val="BlockText"/>
        <w:ind w:left="720"/>
      </w:pPr>
      <w:r>
        <w:t>]</w:t>
      </w:r>
    </w:p>
    <w:p>
      <w:pPr>
        <w:pStyle w:val="BlockText"/>
        <w:ind w:left="1080"/>
      </w:pPr>
      <w:r>
        <w:rPr>
          <w:b/>
          <w:u w:val="single"/>
        </w:rPr>
        <w:t>NOTICE:</w:t>
      </w:r>
      <w:r>
        <w:t xml:space="preserve"> As of </w:t>
      </w:r>
      <w:r>
        <w:rPr>
          <w:u w:val="single"/>
        </w:rPr>
        <w:t>July 1, 2012</w:t>
      </w:r>
      <w:r>
        <w:t xml:space="preserve">, applications for exemption from workers’ compensation insurance can be made on-line at </w:t>
      </w:r>
      <w:r>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pPr>
        <w:pStyle w:val="BlockText"/>
        <w:ind w:left="360"/>
      </w:pPr>
    </w:p>
    <w:p>
      <w:pPr>
        <w:pStyle w:val="BlockText"/>
        <w:ind w:left="1080"/>
        <w:rPr>
          <w:b/>
          <w:i/>
          <w:u w:val="single"/>
        </w:rPr>
      </w:pPr>
      <w:r>
        <w:rPr>
          <w:b/>
          <w:i/>
          <w:u w:val="single"/>
        </w:rPr>
        <w:t>LEGISLATIVE UNDATE: Out-of-state applicants who do NOT have "Florida" driver’s license or identification card have been required submit their applications in hard copy for processing. This is a “glitch” from the statutory changes in 2012, which has been corrected in Section 2 of House Bill 563, effective July 1, 2013, if not vetoed.</w:t>
      </w:r>
    </w:p>
    <w:p>
      <w:pPr>
        <w:pStyle w:val="BlockText"/>
        <w:ind w:left="720"/>
        <w:rPr>
          <w:b/>
        </w:rPr>
      </w:pPr>
    </w:p>
    <w:p>
      <w:pPr>
        <w:pStyle w:val="BlockText"/>
        <w:ind w:left="1080"/>
      </w:pPr>
      <w:r>
        <w:rPr>
          <w:b/>
          <w:u w:val="single"/>
        </w:rPr>
        <w:lastRenderedPageBreak/>
        <w:t>Warning:</w:t>
      </w:r>
      <w:r>
        <w:t xml:space="preserve"> Insurance carriers and their representative joint underwriter association appear to be now 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pPr>
        <w:pStyle w:val="BlockText"/>
        <w:ind w:left="360"/>
      </w:pPr>
    </w:p>
    <w:p>
      <w:pPr>
        <w:pStyle w:val="BlockText"/>
        <w:ind w:left="1080"/>
      </w:pPr>
      <w:r>
        <w:rPr>
          <w:b/>
          <w:u w:val="single"/>
        </w:rPr>
        <w:t>Important Note:</w:t>
      </w:r>
      <w:r>
        <w:t xml:space="preserve"> You can check compliance with worker’s compensation insurance requirements (coverage or exemptions) by name of company, federal employer ID number, employer policy number, and exemption holder name or exemption holder SS number at </w:t>
      </w:r>
      <w:r>
        <w:rPr>
          <w:i/>
          <w:u w:val="single"/>
        </w:rPr>
        <w:t>https//:secure.fldfs.com/WCAPPA/Compliance</w:t>
      </w:r>
      <w:r>
        <w:t>.</w:t>
      </w:r>
    </w:p>
    <w:p>
      <w:pPr>
        <w:pStyle w:val="BlockText"/>
        <w:ind w:left="1080"/>
      </w:pPr>
    </w:p>
    <w:p>
      <w:pPr>
        <w:pStyle w:val="BlockText"/>
        <w:ind w:left="360"/>
      </w:pPr>
      <w:r>
        <w:t>3. Office of State Fire Marshal - Chapter 633, Florida Statutes and Chapter 69A, F.C.A.: Proposed amendment to the following rules - nothing noticed.</w:t>
      </w:r>
    </w:p>
    <w:p>
      <w:pPr>
        <w:pStyle w:val="BlockText"/>
        <w:ind w:left="360"/>
      </w:pPr>
    </w:p>
    <w:p>
      <w:pPr>
        <w:pStyle w:val="BlockText"/>
        <w:ind w:left="360"/>
      </w:pPr>
      <w:r>
        <w:rPr>
          <w:u w:val="single"/>
        </w:rPr>
        <w:t>Note:</w:t>
      </w:r>
      <w:r>
        <w:t xml:space="preserve"> Section 1 of Senate Bill 1122, effective July 1, 2013, creates a new section 633.0215(6</w:t>
      </w:r>
      <w:proofErr w:type="gramStart"/>
      <w:r>
        <w:t>)(</w:t>
      </w:r>
      <w:proofErr w:type="gramEnd"/>
      <w:r>
        <w:t>b) which EXMEPTS certain structures from application of the Florida Fire Prevention Code.</w:t>
      </w:r>
    </w:p>
    <w:p>
      <w:pPr>
        <w:pStyle w:val="BlockText"/>
      </w:pPr>
    </w:p>
    <w:p>
      <w:pPr>
        <w:pStyle w:val="BlockText"/>
      </w:pPr>
      <w:r>
        <w:rPr>
          <w:b/>
          <w:u w:val="single"/>
        </w:rPr>
        <w:t>Legislative Action:</w:t>
      </w:r>
      <w:r>
        <w:t xml:space="preserve"> The regularly scheduled legislative session for 2014: No new bills filed at the present time, except Senate "Claims" bills required to be filed by August 1</w:t>
      </w:r>
      <w:r>
        <w:rPr>
          <w:vertAlign w:val="superscript"/>
        </w:rPr>
        <w:t>st</w:t>
      </w:r>
      <w:r>
        <w:t xml:space="preserve"> of each year prior to the year in which those bills will be taken up in session. There have been NO construction-related bills filed to date for consideration during the 2014 regular legislation session, which commences on March 4, 2014, for 60 calendar days.</w:t>
      </w:r>
    </w:p>
    <w:p>
      <w:pPr>
        <w:pStyle w:val="BlockText"/>
      </w:pPr>
    </w:p>
    <w:p>
      <w:pPr>
        <w:pStyle w:val="BlockText"/>
        <w:ind w:left="720"/>
      </w:pPr>
      <w:r>
        <w:rPr>
          <w:u w:val="single"/>
        </w:rPr>
        <w:t>Reminder:</w:t>
      </w:r>
      <w:r>
        <w:t xml:space="preserve"> In 2013, there were NO changes in Chapter 713 (construction liens), except for correcting a cross-reference to Chapter 633, and a cross-reference in Senate Bill 112 to Section 713.31 in order to exclude fraudulent liens from the new "crime" of filing a false document.</w:t>
      </w:r>
    </w:p>
    <w:p>
      <w:pPr>
        <w:pStyle w:val="BlockText"/>
      </w:pPr>
    </w:p>
    <w:p>
      <w:pPr>
        <w:pStyle w:val="BlockText"/>
      </w:pPr>
      <w:r>
        <w:t>Respectfully submitted,</w:t>
      </w:r>
    </w:p>
    <w:p>
      <w:pPr>
        <w:pStyle w:val="BlockText"/>
      </w:pPr>
      <w:r>
        <w:t>Fred R. Dudley, Esq.</w:t>
      </w:r>
    </w:p>
    <w:p>
      <w:pPr>
        <w:pStyle w:val="BlockText"/>
      </w:pPr>
      <w:r>
        <w:t>September 7, 2013.</w:t>
      </w:r>
    </w:p>
    <w:p>
      <w:pPr>
        <w:pStyle w:val="BlockText"/>
        <w:ind w:left="360"/>
      </w:pPr>
    </w:p>
    <w:p>
      <w:pPr>
        <w:pStyle w:val="BlockText"/>
        <w:ind w:left="360"/>
      </w:pPr>
    </w:p>
    <w:sectPr>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6</w:t>
      </w:r>
    </w:fldSimple>
  </w:p>
  <w:p>
    <w:pPr>
      <w:pStyle w:val="Footer"/>
      <w:rPr>
        <w:rStyle w:val="DocID"/>
      </w:rPr>
    </w:pPr>
    <w:r>
      <w:rPr>
        <w:rStyle w:val="DocID"/>
      </w:rPr>
      <w:t>#25718861_v1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r>
      <w:rPr>
        <w:rStyle w:val="DocID"/>
      </w:rPr>
      <w:instrText>#12612613_v1</w:instrText>
    </w:r>
    <w:r>
      <w:instrText xml:space="preserve"> ""</w:instrText>
    </w:r>
    <w:r>
      <w:rPr>
        <w:sz w:val="20"/>
      </w:rPr>
      <w:instrText xml:space="preserve"> </w:instrText>
    </w:r>
    <w:r>
      <w:rPr>
        <w:sz w:val="20"/>
      </w:rPr>
      <w:fldChar w:fldCharType="separate"/>
    </w:r>
    <w:r>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BlockText"/>
      </w:pPr>
      <w:r>
        <w:rPr>
          <w:rStyle w:val="FootnoteReference"/>
        </w:rPr>
        <w:footnoteRef/>
      </w:r>
      <w:r>
        <w:t xml:space="preserve"> This agency is not allowed to grant variances or waivers from the Florida Building Code, expect as to handicapped accessibility. As part of the TRANSFER of this commission from the now-defunct Department of Community Affairs to the Department of Business and Professional Regulation, all rules from former Chapter 9N have been TRANSFERRED to Chapter 61G20, FAC.</w:t>
      </w:r>
    </w:p>
    <w:p>
      <w:pPr>
        <w:pStyle w:val="BlockText"/>
      </w:pPr>
    </w:p>
    <w:p>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524B"/>
    <w:multiLevelType w:val="hybridMultilevel"/>
    <w:tmpl w:val="824871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0"/>
  </w:num>
  <w:num w:numId="4">
    <w:abstractNumId w:val="10"/>
  </w:num>
  <w:num w:numId="5">
    <w:abstractNumId w:val="38"/>
  </w:num>
  <w:num w:numId="6">
    <w:abstractNumId w:val="31"/>
  </w:num>
  <w:num w:numId="7">
    <w:abstractNumId w:val="28"/>
  </w:num>
  <w:num w:numId="8">
    <w:abstractNumId w:val="46"/>
  </w:num>
  <w:num w:numId="9">
    <w:abstractNumId w:val="29"/>
  </w:num>
  <w:num w:numId="10">
    <w:abstractNumId w:val="6"/>
  </w:num>
  <w:num w:numId="11">
    <w:abstractNumId w:val="5"/>
  </w:num>
  <w:num w:numId="12">
    <w:abstractNumId w:val="8"/>
  </w:num>
  <w:num w:numId="13">
    <w:abstractNumId w:val="19"/>
  </w:num>
  <w:num w:numId="14">
    <w:abstractNumId w:val="37"/>
  </w:num>
  <w:num w:numId="15">
    <w:abstractNumId w:val="42"/>
  </w:num>
  <w:num w:numId="16">
    <w:abstractNumId w:val="44"/>
  </w:num>
  <w:num w:numId="17">
    <w:abstractNumId w:val="33"/>
  </w:num>
  <w:num w:numId="18">
    <w:abstractNumId w:val="9"/>
  </w:num>
  <w:num w:numId="19">
    <w:abstractNumId w:val="40"/>
  </w:num>
  <w:num w:numId="20">
    <w:abstractNumId w:val="45"/>
  </w:num>
  <w:num w:numId="21">
    <w:abstractNumId w:val="32"/>
  </w:num>
  <w:num w:numId="22">
    <w:abstractNumId w:val="47"/>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9"/>
  </w:num>
  <w:num w:numId="38">
    <w:abstractNumId w:val="43"/>
  </w:num>
  <w:num w:numId="39">
    <w:abstractNumId w:val="41"/>
  </w:num>
  <w:num w:numId="40">
    <w:abstractNumId w:val="36"/>
  </w:num>
  <w:num w:numId="41">
    <w:abstractNumId w:val="34"/>
  </w:num>
  <w:num w:numId="42">
    <w:abstractNumId w:val="14"/>
  </w:num>
  <w:num w:numId="43">
    <w:abstractNumId w:val="26"/>
  </w:num>
  <w:num w:numId="44">
    <w:abstractNumId w:val="20"/>
  </w:num>
  <w:num w:numId="45">
    <w:abstractNumId w:val="15"/>
  </w:num>
  <w:num w:numId="46">
    <w:abstractNumId w:val="4"/>
  </w:num>
  <w:num w:numId="47">
    <w:abstractNumId w:val="1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stylePaneFormatFilter w:val="1021"/>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semiHidden/>
    <w:rPr>
      <w:rFonts w:eastAsiaTheme="majorEastAsia" w:cstheme="majorBidi"/>
      <w:b/>
      <w:bCs/>
      <w:szCs w:val="26"/>
    </w:rPr>
  </w:style>
  <w:style w:type="character" w:customStyle="1" w:styleId="Heading3Char">
    <w:name w:val="Heading 3 Char"/>
    <w:basedOn w:val="DefaultParagraphFont"/>
    <w:link w:val="Heading3"/>
    <w:uiPriority w:val="9"/>
    <w:semiHidden/>
    <w:rPr>
      <w:rFonts w:eastAsiaTheme="majorEastAsia" w:cstheme="majorBidi"/>
      <w:b/>
      <w:bCs/>
    </w:rPr>
  </w:style>
  <w:style w:type="character" w:customStyle="1" w:styleId="Heading4Char">
    <w:name w:val="Heading 4 Char"/>
    <w:basedOn w:val="DefaultParagraphFont"/>
    <w:link w:val="Heading4"/>
    <w:uiPriority w:val="9"/>
    <w:semiHidden/>
    <w:rPr>
      <w:rFonts w:eastAsiaTheme="majorEastAsia" w:cstheme="majorBidi"/>
      <w:bCs/>
      <w:iCs/>
    </w:rPr>
  </w:style>
  <w:style w:type="character" w:customStyle="1" w:styleId="Heading5Char">
    <w:name w:val="Heading 5 Char"/>
    <w:basedOn w:val="DefaultParagraphFont"/>
    <w:link w:val="Heading5"/>
    <w:uiPriority w:val="9"/>
    <w:semiHidden/>
    <w:rPr>
      <w:rFonts w:eastAsiaTheme="majorEastAsia" w:cstheme="majorBidi"/>
    </w:rPr>
  </w:style>
  <w:style w:type="character" w:customStyle="1" w:styleId="Heading6Char">
    <w:name w:val="Heading 6 Char"/>
    <w:basedOn w:val="DefaultParagraphFont"/>
    <w:link w:val="Heading6"/>
    <w:uiPriority w:val="9"/>
    <w:semiHidden/>
    <w:rPr>
      <w:rFonts w:eastAsiaTheme="majorEastAsia" w:cstheme="majorBidi"/>
      <w:iCs/>
    </w:rPr>
  </w:style>
  <w:style w:type="character" w:customStyle="1" w:styleId="Heading7Char">
    <w:name w:val="Heading 7 Char"/>
    <w:basedOn w:val="DefaultParagraphFont"/>
    <w:link w:val="Heading7"/>
    <w:uiPriority w:val="9"/>
    <w:semiHidden/>
    <w:rPr>
      <w:rFonts w:eastAsiaTheme="majorEastAsia" w:cstheme="majorBidi"/>
      <w:iCs/>
    </w:rPr>
  </w:style>
  <w:style w:type="character" w:customStyle="1" w:styleId="Heading8Char">
    <w:name w:val="Heading 8 Char"/>
    <w:basedOn w:val="DefaultParagraphFont"/>
    <w:link w:val="Heading8"/>
    <w:uiPriority w:val="9"/>
    <w:semiHidden/>
    <w:rPr>
      <w:rFonts w:eastAsiaTheme="majorEastAsia" w:cstheme="majorBidi"/>
      <w:szCs w:val="20"/>
    </w:rPr>
  </w:style>
  <w:style w:type="character" w:customStyle="1" w:styleId="Heading9Char">
    <w:name w:val="Heading 9 Char"/>
    <w:basedOn w:val="DefaultParagraphFont"/>
    <w:link w:val="Heading9"/>
    <w:uiPriority w:val="9"/>
    <w:semiHidden/>
    <w:rPr>
      <w:rFonts w:eastAsiaTheme="majorEastAsia" w:cstheme="majorBidi"/>
      <w:iCs/>
      <w:szCs w:val="20"/>
    </w:rPr>
  </w:style>
  <w:style w:type="paragraph" w:styleId="BlockText">
    <w:name w:val="Block Text"/>
    <w:basedOn w:val="Normal"/>
    <w:qFormat/>
    <w:pPr>
      <w:jc w:val="both"/>
    </w:pPr>
    <w:rPr>
      <w:rFonts w:eastAsiaTheme="minorEastAsia"/>
      <w:iCs/>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Pr>
      <w:rFonts w:eastAsiaTheme="majorEastAsia" w:cstheme="majorBidi"/>
      <w:kern w:val="28"/>
      <w:szCs w:val="52"/>
      <w:u w:val="single"/>
    </w:rPr>
  </w:style>
  <w:style w:type="paragraph" w:styleId="Subtitle">
    <w:name w:val="Subtitle"/>
    <w:basedOn w:val="Normal"/>
    <w:next w:val="BodyText"/>
    <w:link w:val="SubtitleChar"/>
    <w:uiPriority w:val="11"/>
    <w:qFormat/>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Pr>
      <w:rFonts w:eastAsiaTheme="majorEastAsia" w:cstheme="majorBidi"/>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pPr>
      <w:jc w:val="center"/>
    </w:pPr>
    <w:rPr>
      <w:rFonts w:eastAsia="Times New Roman" w:cs="Times New Roman"/>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pPr>
      <w:ind w:left="2635" w:right="432" w:hanging="720"/>
    </w:pPr>
    <w:rPr>
      <w:rFonts w:eastAsia="Times New Roman" w:cs="Times New Roman"/>
      <w:noProof/>
      <w:szCs w:val="20"/>
    </w:rPr>
  </w:style>
  <w:style w:type="paragraph" w:styleId="TOCHeading">
    <w:name w:val="TOC Heading"/>
    <w:basedOn w:val="Normal"/>
    <w:semiHidden/>
    <w:unhideWhenUsed/>
    <w:qFormat/>
    <w:pPr>
      <w:spacing w:after="240"/>
      <w:jc w:val="center"/>
    </w:pPr>
    <w:rPr>
      <w:rFonts w:eastAsia="Times New Roman" w:cs="Times New Roman"/>
      <w:b/>
      <w:szCs w:val="20"/>
    </w:rPr>
  </w:style>
  <w:style w:type="paragraph" w:customStyle="1" w:styleId="TOCPage">
    <w:name w:val="TOC Page"/>
    <w:basedOn w:val="Normal"/>
    <w:semiHidden/>
    <w:unhideWhenUsed/>
    <w:pPr>
      <w:spacing w:after="240"/>
      <w:jc w:val="right"/>
    </w:pPr>
    <w:rPr>
      <w:rFonts w:eastAsia="Times New Roman" w:cs="Times New Roman"/>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rPr>
      <w:rFonts w:eastAsia="Times New Roman" w:cs="Times New Roman"/>
    </w:rPr>
  </w:style>
  <w:style w:type="paragraph" w:customStyle="1" w:styleId="Listalpha">
    <w:name w:val="List alpha"/>
    <w:basedOn w:val="Normal"/>
    <w:pPr>
      <w:numPr>
        <w:numId w:val="20"/>
      </w:numPr>
      <w:spacing w:after="240"/>
    </w:pPr>
    <w:rPr>
      <w:rFonts w:eastAsia="Times New Roman" w:cs="Times New Roman"/>
    </w:rPr>
  </w:style>
  <w:style w:type="paragraph" w:customStyle="1" w:styleId="ListALPHAB">
    <w:name w:val="List ALPHA B"/>
    <w:basedOn w:val="Normal"/>
    <w:pPr>
      <w:numPr>
        <w:numId w:val="21"/>
      </w:numPr>
      <w:spacing w:after="240"/>
      <w:jc w:val="both"/>
      <w:outlineLvl w:val="0"/>
    </w:pPr>
    <w:rPr>
      <w:rFonts w:eastAsia="Times New Roman" w:cs="Times New Roman"/>
    </w:rPr>
  </w:style>
  <w:style w:type="paragraph" w:customStyle="1" w:styleId="ListALPHA0">
    <w:name w:val="List ALPHA"/>
    <w:basedOn w:val="Normal"/>
    <w:pPr>
      <w:numPr>
        <w:numId w:val="22"/>
      </w:numPr>
      <w:spacing w:after="240"/>
      <w:jc w:val="both"/>
      <w:outlineLvl w:val="0"/>
    </w:pPr>
    <w:rPr>
      <w:rFonts w:eastAsia="Times New Roman" w:cs="Times New Roman"/>
    </w:r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ListParagraph">
    <w:name w:val="List Paragraph"/>
    <w:basedOn w:val="Normal"/>
    <w:uiPriority w:val="34"/>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semiHidden/>
    <w:unhideWhenUsed/>
    <w:rPr>
      <w:color w:val="003366"/>
      <w:u w:val="single"/>
    </w:rPr>
  </w:style>
  <w:style w:type="character" w:styleId="FollowedHyperlink">
    <w:name w:val="FollowedHyperlink"/>
    <w:basedOn w:val="DefaultParagraphFont"/>
    <w:uiPriority w:val="99"/>
    <w:semiHidden/>
    <w:unhideWhenUsed/>
    <w:rPr>
      <w:color w:val="003366"/>
      <w:u w:val="single"/>
    </w:rPr>
  </w:style>
  <w:style w:type="paragraph" w:customStyle="1" w:styleId="Header1">
    <w:name w:val="Header1"/>
    <w:basedOn w:val="Normal"/>
    <w:pPr>
      <w:shd w:val="clear" w:color="auto" w:fill="003366"/>
      <w:spacing w:before="100" w:beforeAutospacing="1" w:after="100" w:afterAutospacing="1"/>
    </w:pPr>
    <w:rPr>
      <w:rFonts w:eastAsia="Times New Roman" w:cs="Times New Roman"/>
    </w:rPr>
  </w:style>
  <w:style w:type="paragraph" w:customStyle="1" w:styleId="tablive">
    <w:name w:val="tab_live"/>
    <w:basedOn w:val="Normal"/>
    <w:pPr>
      <w:shd w:val="clear" w:color="auto" w:fill="FFFFFF"/>
      <w:spacing w:before="100" w:beforeAutospacing="1" w:after="100" w:afterAutospacing="1"/>
    </w:pPr>
    <w:rPr>
      <w:rFonts w:eastAsia="Times New Roman" w:cs="Times New Roman"/>
    </w:rPr>
  </w:style>
  <w:style w:type="paragraph" w:customStyle="1" w:styleId="tabdead">
    <w:name w:val="tab_dead"/>
    <w:basedOn w:val="Normal"/>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pPr>
      <w:spacing w:before="100" w:beforeAutospacing="1" w:after="100" w:afterAutospacing="1"/>
    </w:pPr>
    <w:rPr>
      <w:rFonts w:eastAsia="Times New Roman" w:cs="Times New Roman"/>
      <w:color w:val="CC0000"/>
    </w:rPr>
  </w:style>
  <w:style w:type="paragraph" w:customStyle="1" w:styleId="green">
    <w:name w:val="green"/>
    <w:basedOn w:val="Normal"/>
    <w:pPr>
      <w:spacing w:before="100" w:beforeAutospacing="1" w:after="100" w:afterAutospacing="1"/>
    </w:pPr>
    <w:rPr>
      <w:rFonts w:eastAsia="Times New Roman" w:cs="Times New Roman"/>
      <w:color w:val="339900"/>
    </w:rPr>
  </w:style>
  <w:style w:type="paragraph" w:customStyle="1" w:styleId="dead">
    <w:name w:val="dead"/>
    <w:basedOn w:val="Normal"/>
    <w:pPr>
      <w:spacing w:before="100" w:beforeAutospacing="1" w:after="100" w:afterAutospacing="1"/>
    </w:pPr>
    <w:rPr>
      <w:rFonts w:eastAsia="Times New Roman" w:cs="Times New Roman"/>
      <w:color w:val="666666"/>
    </w:rPr>
  </w:style>
  <w:style w:type="paragraph" w:customStyle="1" w:styleId="live">
    <w:name w:val="live"/>
    <w:basedOn w:val="Normal"/>
    <w:pPr>
      <w:spacing w:before="100" w:beforeAutospacing="1" w:after="100" w:afterAutospacing="1"/>
    </w:pPr>
    <w:rPr>
      <w:rFonts w:eastAsia="Times New Roman" w:cs="Times New Roman"/>
    </w:rPr>
  </w:style>
  <w:style w:type="paragraph" w:customStyle="1" w:styleId="orgname">
    <w:name w:val="org_name"/>
    <w:basedOn w:val="Normal"/>
    <w:pPr>
      <w:spacing w:before="100" w:beforeAutospacing="1" w:after="100" w:afterAutospacing="1"/>
      <w:jc w:val="right"/>
    </w:pPr>
    <w:rPr>
      <w:rFonts w:eastAsia="Times New Roman" w:cs="Times New Roman"/>
      <w:color w:val="FFFFFF"/>
    </w:rPr>
  </w:style>
  <w:style w:type="paragraph" w:customStyle="1" w:styleId="formwidth">
    <w:name w:val="form_width"/>
    <w:basedOn w:val="Normal"/>
    <w:pPr>
      <w:spacing w:before="100" w:beforeAutospacing="1" w:after="100" w:afterAutospacing="1"/>
    </w:pPr>
    <w:rPr>
      <w:rFonts w:eastAsia="Times New Roman" w:cs="Times New Roman"/>
    </w:rPr>
  </w:style>
  <w:style w:type="paragraph" w:customStyle="1" w:styleId="box">
    <w:name w:val="box"/>
    <w:basedOn w:val="Normal"/>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pPr>
      <w:spacing w:before="100" w:beforeAutospacing="1" w:after="100" w:afterAutospacing="1"/>
    </w:pPr>
    <w:rPr>
      <w:rFonts w:ascii="Arial" w:eastAsia="Times New Roman" w:hAnsi="Arial" w:cs="Arial"/>
      <w:sz w:val="15"/>
      <w:szCs w:val="15"/>
    </w:rPr>
  </w:style>
  <w:style w:type="paragraph" w:customStyle="1" w:styleId="large">
    <w:name w:val="large"/>
    <w:basedOn w:val="Normal"/>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pPr>
      <w:spacing w:before="225" w:after="150"/>
      <w:ind w:left="150" w:right="150"/>
    </w:pPr>
    <w:rPr>
      <w:rFonts w:ascii="Arial" w:eastAsia="Times New Roman" w:hAnsi="Arial" w:cs="Arial"/>
      <w:b/>
      <w:bCs/>
      <w:sz w:val="27"/>
      <w:szCs w:val="27"/>
    </w:rPr>
  </w:style>
  <w:style w:type="paragraph" w:customStyle="1" w:styleId="navlarge">
    <w:name w:val="nav_large"/>
    <w:basedOn w:val="Normal"/>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pPr>
      <w:spacing w:before="100" w:beforeAutospacing="1" w:after="100" w:afterAutospacing="1"/>
    </w:pPr>
    <w:rPr>
      <w:rFonts w:eastAsia="Times New Roman" w:cs="Times New Roman"/>
    </w:rPr>
  </w:style>
  <w:style w:type="paragraph" w:customStyle="1" w:styleId="message">
    <w:name w:val="message"/>
    <w:basedOn w:val="Normal"/>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pPr>
      <w:spacing w:before="150"/>
    </w:pPr>
    <w:rPr>
      <w:rFonts w:ascii="Arial" w:eastAsia="Times New Roman" w:hAnsi="Arial" w:cs="Arial"/>
      <w:b/>
      <w:bCs/>
      <w:sz w:val="27"/>
      <w:szCs w:val="27"/>
    </w:rPr>
  </w:style>
  <w:style w:type="paragraph" w:customStyle="1" w:styleId="articledate">
    <w:name w:val="article_date"/>
    <w:basedOn w:val="Normal"/>
    <w:pPr>
      <w:spacing w:after="150"/>
    </w:pPr>
    <w:rPr>
      <w:rFonts w:eastAsia="Times New Roman" w:cs="Times New Roman"/>
      <w:color w:val="666666"/>
    </w:rPr>
  </w:style>
  <w:style w:type="paragraph" w:customStyle="1" w:styleId="pagerlive">
    <w:name w:val="pager_live"/>
    <w:basedOn w:val="Normal"/>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pPr>
      <w:spacing w:before="75"/>
      <w:ind w:left="195"/>
    </w:pPr>
    <w:rPr>
      <w:rFonts w:eastAsia="Times New Roman" w:cs="Times New Roman"/>
      <w:color w:val="DDDDDD"/>
    </w:rPr>
  </w:style>
  <w:style w:type="paragraph" w:customStyle="1" w:styleId="bulletlistnobullet">
    <w:name w:val="bullet_list_no_bullet"/>
    <w:basedOn w:val="Normal"/>
    <w:pPr>
      <w:spacing w:before="75"/>
    </w:pPr>
    <w:rPr>
      <w:rFonts w:eastAsia="Times New Roman" w:cs="Times New Roman"/>
      <w:color w:val="DDDDDD"/>
    </w:rPr>
  </w:style>
  <w:style w:type="paragraph" w:customStyle="1" w:styleId="iconmenu">
    <w:name w:val="icon_menu"/>
    <w:basedOn w:val="Normal"/>
    <w:rPr>
      <w:rFonts w:eastAsia="Times New Roman" w:cs="Times New Roman"/>
      <w:b/>
      <w:bCs/>
      <w:sz w:val="18"/>
      <w:szCs w:val="18"/>
    </w:rPr>
  </w:style>
  <w:style w:type="paragraph" w:customStyle="1" w:styleId="contentcopyright">
    <w:name w:val="content_copyright"/>
    <w:basedOn w:val="Normal"/>
    <w:pPr>
      <w:spacing w:before="300"/>
      <w:ind w:left="300" w:right="300"/>
    </w:pPr>
    <w:rPr>
      <w:rFonts w:eastAsia="Times New Roman" w:cs="Times New Roman"/>
      <w:color w:val="666666"/>
    </w:rPr>
  </w:style>
  <w:style w:type="paragraph" w:customStyle="1" w:styleId="eventicon1">
    <w:name w:val="event_icon_1"/>
    <w:basedOn w:val="Normal"/>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pPr>
      <w:spacing w:before="100" w:beforeAutospacing="1" w:after="100" w:afterAutospacing="1"/>
    </w:pPr>
    <w:rPr>
      <w:rFonts w:eastAsia="Times New Roman" w:cs="Times New Roman"/>
    </w:rPr>
  </w:style>
  <w:style w:type="paragraph" w:customStyle="1" w:styleId="Header2">
    <w:name w:val="Header2"/>
    <w:basedOn w:val="Normal"/>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Pr>
      <w:rFonts w:eastAsia="Times New Roman" w:cs="Times New Roman"/>
    </w:rPr>
  </w:style>
  <w:style w:type="paragraph" w:customStyle="1" w:styleId="sponsored-event-content">
    <w:name w:val="sponsored-event-content"/>
    <w:basedOn w:val="Normal"/>
    <w:rPr>
      <w:rFonts w:eastAsia="Times New Roman" w:cs="Times New Roman"/>
      <w:vanish/>
    </w:rPr>
  </w:style>
  <w:style w:type="paragraph" w:customStyle="1" w:styleId="sponsored-event-click">
    <w:name w:val="sponsored-event-click"/>
    <w:basedOn w:val="Normal"/>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pPr>
      <w:ind w:left="50" w:right="50"/>
      <w:textAlignment w:val="top"/>
    </w:pPr>
    <w:rPr>
      <w:rFonts w:eastAsia="Times New Roman" w:cs="Times New Roman"/>
    </w:rPr>
  </w:style>
  <w:style w:type="paragraph" w:customStyle="1" w:styleId="tooltip">
    <w:name w:val="tooltip"/>
    <w:basedOn w:val="Normal"/>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pPr>
      <w:spacing w:before="100" w:beforeAutospacing="1" w:after="100" w:afterAutospacing="1"/>
    </w:pPr>
    <w:rPr>
      <w:rFonts w:eastAsia="Times New Roman" w:cs="Times New Roman"/>
      <w:sz w:val="12"/>
      <w:szCs w:val="12"/>
    </w:rPr>
  </w:style>
  <w:style w:type="paragraph" w:customStyle="1" w:styleId="large-tooltip">
    <w:name w:val="large-tooltip"/>
    <w:basedOn w:val="Normal"/>
    <w:pPr>
      <w:spacing w:before="100" w:beforeAutospacing="1" w:after="100" w:afterAutospacing="1"/>
    </w:pPr>
    <w:rPr>
      <w:rFonts w:eastAsia="Times New Roman" w:cs="Times New Roman"/>
      <w:b/>
      <w:bCs/>
      <w:sz w:val="13"/>
      <w:szCs w:val="13"/>
    </w:rPr>
  </w:style>
  <w:style w:type="paragraph" w:customStyle="1" w:styleId="more-items">
    <w:name w:val="more-items"/>
    <w:basedOn w:val="Normal"/>
    <w:pPr>
      <w:spacing w:before="100" w:beforeAutospacing="1" w:after="200"/>
      <w:jc w:val="right"/>
    </w:pPr>
    <w:rPr>
      <w:rFonts w:eastAsia="Times New Roman" w:cs="Times New Roman"/>
      <w:b/>
      <w:bCs/>
    </w:rPr>
  </w:style>
  <w:style w:type="paragraph" w:customStyle="1" w:styleId="button-link">
    <w:name w:val="button-link"/>
    <w:basedOn w:val="Normal"/>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10837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12792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2013-09-08T15:06:00Z</cp:lastPrinted>
  <dcterms:created xsi:type="dcterms:W3CDTF">2013-09-09T00:03:00Z</dcterms:created>
  <dcterms:modified xsi:type="dcterms:W3CDTF">2013-09-09T00:03:00Z</dcterms:modified>
</cp:coreProperties>
</file>