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7D14A8">
        <w:t xml:space="preserve"> June </w:t>
      </w:r>
      <w:r w:rsidR="00FA0D68">
        <w:t>2013</w:t>
      </w:r>
    </w:p>
    <w:p w:rsidR="006F4CE9" w:rsidRDefault="006F4CE9" w:rsidP="00D9771C">
      <w:pPr>
        <w:pStyle w:val="BlockText"/>
        <w:rPr>
          <w:b/>
          <w:u w:val="single"/>
        </w:rPr>
      </w:pPr>
    </w:p>
    <w:p w:rsidR="007F16BD" w:rsidRPr="007D14A8" w:rsidRDefault="009F4440" w:rsidP="007D14A8">
      <w:pPr>
        <w:pStyle w:val="BlockText"/>
        <w:rPr>
          <w:b/>
          <w:u w:val="single"/>
        </w:rPr>
      </w:pPr>
      <w:r>
        <w:rPr>
          <w:b/>
          <w:u w:val="single"/>
        </w:rPr>
        <w:t xml:space="preserve">State </w:t>
      </w:r>
      <w:r w:rsidR="00D9771C" w:rsidRPr="00D9771C">
        <w:rPr>
          <w:b/>
          <w:u w:val="single"/>
        </w:rPr>
        <w:t>Appellate Decisions:</w:t>
      </w:r>
    </w:p>
    <w:p w:rsidR="000F112D" w:rsidRDefault="000F112D" w:rsidP="007F16BD">
      <w:pPr>
        <w:pStyle w:val="BlockText"/>
      </w:pPr>
    </w:p>
    <w:p w:rsidR="000F112D" w:rsidRDefault="000F112D" w:rsidP="007F16BD">
      <w:pPr>
        <w:pStyle w:val="BlockText"/>
      </w:pPr>
      <w:r>
        <w:tab/>
      </w:r>
      <w:r w:rsidR="00094361">
        <w:rPr>
          <w:i/>
          <w:u w:val="single"/>
        </w:rPr>
        <w:t>Narciso Vivot v. Bank of America</w:t>
      </w:r>
      <w:r w:rsidR="00094361">
        <w:t>, 38 Fla. L. Weekly D125c, Case No. 2D12-2757, issued June 5</w:t>
      </w:r>
      <w:r>
        <w:t xml:space="preserve">, 2013: </w:t>
      </w:r>
      <w:r w:rsidR="00094361">
        <w:t>After defendant successfully moved to dismiss  mortgage foreclosure for failure to prosecute, trial court's denial of attorney fees based on the terms of the note and mortgage and s. 57.105 was</w:t>
      </w:r>
      <w:r w:rsidR="00094361" w:rsidRPr="00806AA8">
        <w:rPr>
          <w:i/>
        </w:rPr>
        <w:t xml:space="preserve"> REVERSED</w:t>
      </w:r>
      <w:r w:rsidR="00094361">
        <w:t xml:space="preserve"> and </w:t>
      </w:r>
      <w:r w:rsidR="00094361" w:rsidRPr="00806AA8">
        <w:rPr>
          <w:i/>
        </w:rPr>
        <w:t>REMANDED</w:t>
      </w:r>
      <w:r w:rsidR="00094361">
        <w:t xml:space="preserve"> for further proc</w:t>
      </w:r>
      <w:r w:rsidR="00806AA8">
        <w:t>eedings. The appellate court cited:</w:t>
      </w:r>
      <w:r w:rsidR="00094361">
        <w:t xml:space="preserve"> </w:t>
      </w:r>
      <w:r w:rsidR="00094361" w:rsidRPr="00094361">
        <w:rPr>
          <w:i/>
          <w:u w:val="single"/>
        </w:rPr>
        <w:t>Raze v. Deutsche Bank</w:t>
      </w:r>
      <w:r w:rsidR="00094361">
        <w:t>, 100 So. 3d 121 (Fla. 2</w:t>
      </w:r>
      <w:r w:rsidR="00094361" w:rsidRPr="00094361">
        <w:rPr>
          <w:vertAlign w:val="superscript"/>
        </w:rPr>
        <w:t>nd</w:t>
      </w:r>
      <w:r w:rsidR="00094361">
        <w:t xml:space="preserve"> DCA 2012, in which fees were awarded to the defendan</w:t>
      </w:r>
      <w:r w:rsidR="00806AA8">
        <w:t>t as the "prevailing party" after</w:t>
      </w:r>
      <w:r w:rsidR="00094361">
        <w:t xml:space="preserve"> the trial court had involuntarily dismissed a mortgage for</w:t>
      </w:r>
      <w:r w:rsidR="00806AA8">
        <w:t>e</w:t>
      </w:r>
      <w:r w:rsidR="00094361">
        <w:t>closure suit based on the plaintiff bank's failure to comply with the c</w:t>
      </w:r>
      <w:r w:rsidR="00806AA8">
        <w:t xml:space="preserve">ourt's directives: </w:t>
      </w:r>
      <w:r w:rsidR="00094361" w:rsidRPr="00094361">
        <w:rPr>
          <w:i/>
          <w:u w:val="single"/>
        </w:rPr>
        <w:t>Stout Jewelers, Inc., v. Corson</w:t>
      </w:r>
      <w:r w:rsidR="00094361">
        <w:t>, 639 So. 2d 82 (Fla. 2d DCA 1994)</w:t>
      </w:r>
      <w:r w:rsidR="00806AA8">
        <w:t>, in which fees were awarded to the tenant as the "prevailing party" after the landlord's action has been dismissed for failure to prosecute; and J. P. Morgan Mortgage Acquisition Corp. v. Golden, 98 So. 3d 220 (Fla. 2</w:t>
      </w:r>
      <w:r w:rsidR="00806AA8" w:rsidRPr="00806AA8">
        <w:rPr>
          <w:vertAlign w:val="superscript"/>
        </w:rPr>
        <w:t>nd</w:t>
      </w:r>
      <w:r w:rsidR="00806AA8">
        <w:t xml:space="preserve"> DCA 2012), in which  defendant was determined to be the "prevailing party" after dismissal of a mortgage foreclosure based on the plaintiff's failure to give proper notice, even though the action could be refilled.</w:t>
      </w:r>
    </w:p>
    <w:p w:rsidR="00806AA8" w:rsidRDefault="00806AA8" w:rsidP="007F16BD">
      <w:pPr>
        <w:pStyle w:val="BlockText"/>
        <w:rPr>
          <w:u w:val="single"/>
        </w:rPr>
      </w:pPr>
    </w:p>
    <w:p w:rsidR="00806AA8" w:rsidRDefault="00806AA8" w:rsidP="007F16BD">
      <w:pPr>
        <w:pStyle w:val="BlockText"/>
      </w:pPr>
      <w:r w:rsidRPr="00806AA8">
        <w:rPr>
          <w:u w:val="single"/>
        </w:rPr>
        <w:t>Editor's Note:</w:t>
      </w:r>
      <w:r>
        <w:t xml:space="preserve"> In all of these cases, the "prevailing party" had plead entitlement to attorney fees so as to give the other party reasonable notice.</w:t>
      </w:r>
    </w:p>
    <w:p w:rsidR="00AB759F" w:rsidRDefault="00AB759F" w:rsidP="007F16BD">
      <w:pPr>
        <w:pStyle w:val="BlockText"/>
      </w:pPr>
    </w:p>
    <w:p w:rsidR="00AB759F" w:rsidRDefault="00AB759F" w:rsidP="007F16BD">
      <w:pPr>
        <w:pStyle w:val="BlockText"/>
      </w:pPr>
      <w:r>
        <w:tab/>
      </w:r>
      <w:r w:rsidRPr="00AB759F">
        <w:rPr>
          <w:i/>
          <w:u w:val="single"/>
        </w:rPr>
        <w:t>Sarasota Renaissance II v. Bat</w:t>
      </w:r>
      <w:r w:rsidR="00292E15">
        <w:rPr>
          <w:i/>
          <w:u w:val="single"/>
        </w:rPr>
        <w:t>s</w:t>
      </w:r>
      <w:r w:rsidRPr="00AB759F">
        <w:rPr>
          <w:i/>
          <w:u w:val="single"/>
        </w:rPr>
        <w:t xml:space="preserve">on-Cook Company, </w:t>
      </w:r>
      <w:r w:rsidR="00292E15">
        <w:rPr>
          <w:i/>
          <w:u w:val="single"/>
        </w:rPr>
        <w:t xml:space="preserve">Copper Carry and Associates, </w:t>
      </w:r>
      <w:r w:rsidRPr="00AB759F">
        <w:rPr>
          <w:i/>
          <w:u w:val="single"/>
        </w:rPr>
        <w:t>et. al</w:t>
      </w:r>
      <w:r>
        <w:t xml:space="preserve">, 38 Fla. L. Weekly D1279a, Case No. 2D11-5449, filed June 12, 2013: </w:t>
      </w:r>
      <w:r w:rsidR="00292E15">
        <w:t>Contractor sued developer for breach of an oral "reconstruction" agreement for the costs to repair</w:t>
      </w:r>
      <w:r>
        <w:t xml:space="preserve"> </w:t>
      </w:r>
      <w:r w:rsidR="00292E15">
        <w:t xml:space="preserve">water intrusion </w:t>
      </w:r>
      <w:r>
        <w:t xml:space="preserve">damages </w:t>
      </w:r>
      <w:r w:rsidR="00292E15">
        <w:t>to a</w:t>
      </w:r>
      <w:r>
        <w:t xml:space="preserve"> condominium, </w:t>
      </w:r>
      <w:r w:rsidR="00292E15">
        <w:t xml:space="preserve">as well as the performance bond surety, and the developer assigned to contractor its claims against the architect for faulty design on the expressed agreement that the assignment would not serve to release any of such claims. </w:t>
      </w:r>
      <w:r w:rsidR="00894D34">
        <w:t>Contractor filed</w:t>
      </w:r>
      <w:r w:rsidR="00292E15">
        <w:t xml:space="preserve"> motion to amend its pleadings to assert the claims assigned to it</w:t>
      </w:r>
      <w:r w:rsidR="00894D34">
        <w:t xml:space="preserve"> pursuant to Florida Rule of Civil Procedure 1.260(c), which the trial court denied based on the argument that such amendment would be prejudicial to the architect, and granted the architect's motion to drop the developer from the suit by ruling that the damages claims of the developer had been released by the assignment.</w:t>
      </w:r>
      <w:r w:rsidR="00D025A9">
        <w:t xml:space="preserve"> On appeal by the developer, the court held that the assignment did not operate to extinguish or release the developer's claims, but </w:t>
      </w:r>
      <w:r w:rsidR="0088673E" w:rsidRPr="0088673E">
        <w:rPr>
          <w:i/>
        </w:rPr>
        <w:t>AFFIRMED</w:t>
      </w:r>
      <w:r w:rsidR="0088673E">
        <w:t xml:space="preserve"> the</w:t>
      </w:r>
      <w:r w:rsidR="00D025A9">
        <w:t xml:space="preserve"> order to "drop" the developer as a party based on the developer's failure to object to that order and</w:t>
      </w:r>
      <w:r w:rsidR="0088673E">
        <w:t xml:space="preserve"> actually urging in favor of</w:t>
      </w:r>
      <w:r w:rsidR="00D025A9">
        <w:t xml:space="preserve"> that order, thereby taking an inconsistent position on appeal</w:t>
      </w:r>
      <w:r w:rsidR="0088673E">
        <w:t xml:space="preserve"> while failing to </w:t>
      </w:r>
      <w:r w:rsidR="00D025A9">
        <w:t>preserve this issue for appeal.</w:t>
      </w:r>
    </w:p>
    <w:p w:rsidR="0088673E" w:rsidRDefault="0088673E" w:rsidP="007F16BD">
      <w:pPr>
        <w:pStyle w:val="BlockText"/>
      </w:pPr>
    </w:p>
    <w:p w:rsidR="0088673E" w:rsidRDefault="0088673E" w:rsidP="007F16BD">
      <w:pPr>
        <w:pStyle w:val="BlockText"/>
      </w:pPr>
      <w:r w:rsidRPr="0088673E">
        <w:rPr>
          <w:u w:val="single"/>
        </w:rPr>
        <w:t>Editor's Note:</w:t>
      </w:r>
      <w:r>
        <w:t xml:space="preserve"> This appears to be an effort to rule on an otherwise unpreserved error on appeal.</w:t>
      </w:r>
    </w:p>
    <w:p w:rsidR="0088673E" w:rsidRDefault="0088673E" w:rsidP="007F16BD">
      <w:pPr>
        <w:pStyle w:val="BlockText"/>
      </w:pPr>
    </w:p>
    <w:p w:rsidR="00FA7229" w:rsidRDefault="0088673E" w:rsidP="007F16BD">
      <w:pPr>
        <w:pStyle w:val="BlockText"/>
      </w:pPr>
      <w:r>
        <w:tab/>
      </w:r>
      <w:r w:rsidR="00FA7229" w:rsidRPr="006C704A">
        <w:rPr>
          <w:i/>
          <w:u w:val="single"/>
        </w:rPr>
        <w:t>GMT Construction, Inc. and Ronald A. Smith v. Gulfside Supply, Inc.</w:t>
      </w:r>
      <w:r w:rsidR="006C704A">
        <w:t>,</w:t>
      </w:r>
      <w:r w:rsidR="00FA7229">
        <w:t xml:space="preserve"> 38 Fla. L. Weekly D1315a, Case No. 3D12-</w:t>
      </w:r>
      <w:r w:rsidR="006C704A">
        <w:t xml:space="preserve">732, filed June 12, 2013: Summary judgment entered in favor of roofing supplier against roofing contractor was </w:t>
      </w:r>
      <w:r w:rsidR="006C704A" w:rsidRPr="006C704A">
        <w:rPr>
          <w:i/>
        </w:rPr>
        <w:t>REVERSED and REMANDED</w:t>
      </w:r>
      <w:r w:rsidR="006C704A">
        <w:t xml:space="preserve"> based on disputed evidence of materials facts regarding supplier's manager knowledge that contractor was unaware of purchase, and orally told contractor that contractor's supervisor was personally liable for the purchases when contractor objected to invoice.</w:t>
      </w:r>
    </w:p>
    <w:p w:rsidR="006C704A" w:rsidRDefault="006C704A" w:rsidP="007F16BD">
      <w:pPr>
        <w:pStyle w:val="BlockText"/>
      </w:pPr>
      <w:r>
        <w:lastRenderedPageBreak/>
        <w:tab/>
      </w:r>
      <w:r w:rsidRPr="006C704A">
        <w:rPr>
          <w:i/>
          <w:u w:val="single"/>
        </w:rPr>
        <w:t>Suzlon Energy v. Ventus De Nicaragua, S. A</w:t>
      </w:r>
      <w:r>
        <w:t>., 38 Fla. L. Weekly D1369a, Case No. 3D11-1087, filed June 19, 2013:</w:t>
      </w:r>
      <w:r w:rsidR="00B231A5">
        <w:t xml:space="preserve"> Granting</w:t>
      </w:r>
      <w:r>
        <w:t xml:space="preserve"> a Motion for Rehearing, the appellate court </w:t>
      </w:r>
      <w:r w:rsidRPr="006C704A">
        <w:rPr>
          <w:i/>
        </w:rPr>
        <w:t>WITHD</w:t>
      </w:r>
      <w:r>
        <w:rPr>
          <w:i/>
        </w:rPr>
        <w:t xml:space="preserve">EW </w:t>
      </w:r>
      <w:r>
        <w:t xml:space="preserve">its earlier opinion reported at 38 Fla. L. Weekly D304a, and </w:t>
      </w:r>
      <w:r w:rsidRPr="006C704A">
        <w:rPr>
          <w:i/>
        </w:rPr>
        <w:t>affirmed</w:t>
      </w:r>
      <w:r>
        <w:t xml:space="preserve"> the trial court's order </w:t>
      </w:r>
      <w:r w:rsidRPr="006C704A">
        <w:rPr>
          <w:i/>
          <w:u w:val="single"/>
        </w:rPr>
        <w:t>confirming</w:t>
      </w:r>
      <w:r>
        <w:t xml:space="preserve"> the arbitration award i</w:t>
      </w:r>
      <w:r w:rsidR="00B231A5">
        <w:t>n favor of</w:t>
      </w:r>
      <w:r>
        <w:t xml:space="preserve"> Venus.</w:t>
      </w:r>
    </w:p>
    <w:p w:rsidR="006C704A" w:rsidRDefault="006C704A" w:rsidP="007F16BD">
      <w:pPr>
        <w:pStyle w:val="BlockText"/>
      </w:pPr>
    </w:p>
    <w:p w:rsidR="006C704A" w:rsidRPr="006C704A" w:rsidRDefault="006C704A" w:rsidP="007F16BD">
      <w:pPr>
        <w:pStyle w:val="BlockText"/>
      </w:pPr>
      <w:r w:rsidRPr="006C704A">
        <w:rPr>
          <w:u w:val="single"/>
        </w:rPr>
        <w:t>Editor's Note:</w:t>
      </w:r>
      <w:r>
        <w:t xml:space="preserve"> This original opinion was reported several months ago in which the trial court's confirmation of an arbitration award had been overturned based on the corporation officer lack of authority to arbitration following a series of stockholder disagreements and election of new officers.</w:t>
      </w:r>
    </w:p>
    <w:p w:rsidR="009024B4" w:rsidRPr="00530CD6" w:rsidRDefault="009024B4" w:rsidP="00D9771C">
      <w:pPr>
        <w:pStyle w:val="BlockText"/>
      </w:pP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2B09F1" w:rsidRDefault="002B09F1" w:rsidP="00D9771C">
      <w:pPr>
        <w:pStyle w:val="BlockText"/>
      </w:pPr>
    </w:p>
    <w:p w:rsidR="002B09F1" w:rsidRDefault="00DB01F6" w:rsidP="00DB01F6">
      <w:pPr>
        <w:pStyle w:val="BlockText"/>
        <w:ind w:firstLine="720"/>
      </w:pPr>
      <w:r>
        <w:t>(Nothing to report)</w:t>
      </w:r>
    </w:p>
    <w:p w:rsidR="002B09F1" w:rsidRDefault="002B09F1" w:rsidP="00D9771C">
      <w:pPr>
        <w:pStyle w:val="BlockText"/>
      </w:pPr>
    </w:p>
    <w:p w:rsidR="002B09F1" w:rsidRPr="002B09F1" w:rsidRDefault="002B09F1" w:rsidP="00D9771C">
      <w:pPr>
        <w:pStyle w:val="BlockText"/>
        <w:rPr>
          <w:b/>
          <w:u w:val="single"/>
        </w:rPr>
      </w:pPr>
      <w:r w:rsidRPr="002B09F1">
        <w:rPr>
          <w:b/>
          <w:u w:val="single"/>
        </w:rPr>
        <w:t>State Agency Actions:</w:t>
      </w:r>
    </w:p>
    <w:p w:rsidR="006A50B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0340FB" w:rsidRPr="000340FB" w:rsidRDefault="004E142A" w:rsidP="000340FB">
      <w:pPr>
        <w:pStyle w:val="BlockText"/>
        <w:numPr>
          <w:ilvl w:val="0"/>
          <w:numId w:val="32"/>
        </w:numPr>
        <w:rPr>
          <w:b/>
        </w:rPr>
      </w:pPr>
      <w:r w:rsidRPr="00936542">
        <w:rPr>
          <w:u w:val="single"/>
        </w:rPr>
        <w:t>Construction Industry Licensing Board</w:t>
      </w:r>
      <w:r>
        <w:t xml:space="preserve"> – Chapter 489, Part I, FS and Chapter 61G4 FAC: </w:t>
      </w:r>
    </w:p>
    <w:p w:rsidR="000340FB" w:rsidRDefault="000340FB" w:rsidP="000340FB">
      <w:pPr>
        <w:pStyle w:val="BlockText"/>
        <w:ind w:left="1080"/>
        <w:rPr>
          <w:b/>
        </w:rPr>
      </w:pPr>
    </w:p>
    <w:p w:rsidR="00DB01F6" w:rsidRPr="00DB01F6" w:rsidRDefault="00E1125C" w:rsidP="00DB01F6">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DB01F6" w:rsidRPr="00DB01F6" w:rsidRDefault="00DB01F6" w:rsidP="00DB01F6">
      <w:pPr>
        <w:pStyle w:val="BlockText"/>
        <w:ind w:left="1800"/>
        <w:rPr>
          <w:b/>
        </w:rPr>
      </w:pPr>
    </w:p>
    <w:p w:rsidR="00DB01F6" w:rsidRPr="00DB01F6" w:rsidRDefault="00DB01F6" w:rsidP="00DB01F6">
      <w:pPr>
        <w:pStyle w:val="BlockText"/>
        <w:numPr>
          <w:ilvl w:val="2"/>
          <w:numId w:val="32"/>
        </w:numPr>
        <w:rPr>
          <w:b/>
        </w:rPr>
      </w:pPr>
      <w:r>
        <w:t>Rule 61G4-12.011, effective April 4</w:t>
      </w:r>
      <w:r w:rsidR="002558FB">
        <w:t xml:space="preserve">, 2013, will allow </w:t>
      </w:r>
      <w:r>
        <w:t>add to the definition of "services incidental thereto" for purposes of determining FDOT contracts that may also require a Division I license for performance</w:t>
      </w:r>
      <w:r w:rsidR="00332825">
        <w:t>, but the word "tunnels" was removed after an objection was received by the Joint Administrative Procedures Committee</w:t>
      </w:r>
      <w:r>
        <w:t>.</w:t>
      </w:r>
    </w:p>
    <w:p w:rsidR="00DB01F6" w:rsidRDefault="00DB01F6" w:rsidP="00DB01F6">
      <w:pPr>
        <w:pStyle w:val="BlockText"/>
        <w:ind w:left="2520"/>
        <w:rPr>
          <w:b/>
        </w:rPr>
      </w:pPr>
    </w:p>
    <w:p w:rsidR="00DB01F6" w:rsidRPr="00DB01F6" w:rsidRDefault="00DB01F6" w:rsidP="00DB01F6">
      <w:pPr>
        <w:pStyle w:val="BlockText"/>
        <w:numPr>
          <w:ilvl w:val="2"/>
          <w:numId w:val="32"/>
        </w:numPr>
        <w:rPr>
          <w:b/>
        </w:rPr>
      </w:pPr>
      <w:r>
        <w:t xml:space="preserve">Rule 614G-15.035, effective </w:t>
      </w:r>
      <w:r w:rsidR="00657E5B">
        <w:t xml:space="preserve">February 13, 2013, rather than </w:t>
      </w:r>
      <w:r>
        <w:t xml:space="preserve">March 31, 2013, </w:t>
      </w:r>
      <w:r w:rsidR="00657E5B">
        <w:t xml:space="preserve">as previously reported, </w:t>
      </w:r>
      <w:r>
        <w:t>provides for the certification of specialty irrigation contactors.</w:t>
      </w:r>
    </w:p>
    <w:p w:rsidR="00DB01F6" w:rsidRDefault="00DB01F6" w:rsidP="00DB01F6">
      <w:pPr>
        <w:pStyle w:val="BlockText"/>
        <w:ind w:left="2520"/>
        <w:rPr>
          <w:b/>
        </w:rPr>
      </w:pPr>
    </w:p>
    <w:p w:rsidR="003F4811" w:rsidRPr="00A903BC" w:rsidRDefault="00657E5B" w:rsidP="003F4811">
      <w:pPr>
        <w:pStyle w:val="BlockText"/>
        <w:numPr>
          <w:ilvl w:val="2"/>
          <w:numId w:val="32"/>
        </w:numPr>
        <w:rPr>
          <w:b/>
        </w:rPr>
      </w:pPr>
      <w:r>
        <w:t>Rule 61G4-18.001</w:t>
      </w:r>
      <w:r w:rsidR="003F4811">
        <w:t>(3)(g)</w:t>
      </w:r>
      <w:r>
        <w:t xml:space="preserve">, effective March 31, 2013, </w:t>
      </w:r>
      <w:r w:rsidR="003F4811">
        <w:t xml:space="preserve">further </w:t>
      </w:r>
      <w:r>
        <w:t xml:space="preserve">amends the Continuing Education </w:t>
      </w:r>
      <w:r w:rsidR="003F4811">
        <w:t xml:space="preserve">specialized </w:t>
      </w:r>
      <w:r>
        <w:t>requir</w:t>
      </w:r>
      <w:r w:rsidR="003F4811">
        <w:t>ements for certification of plans and specifications for one and two family dwellings by Division I licensees in accordance with the wind resistance provisions set forth in Section 1609.1.1, Exceptions 1-3, Florida Building Code (2012).</w:t>
      </w:r>
    </w:p>
    <w:p w:rsidR="00DB01F6" w:rsidRPr="00DB01F6" w:rsidRDefault="00DB01F6" w:rsidP="00DB01F6">
      <w:pPr>
        <w:pStyle w:val="BlockText"/>
        <w:ind w:left="2520"/>
        <w:rPr>
          <w:b/>
        </w:rPr>
      </w:pPr>
    </w:p>
    <w:p w:rsidR="002558FB" w:rsidRDefault="004E142A" w:rsidP="002558FB">
      <w:pPr>
        <w:pStyle w:val="BlockText"/>
        <w:numPr>
          <w:ilvl w:val="1"/>
          <w:numId w:val="32"/>
        </w:numPr>
      </w:pPr>
      <w:r>
        <w:t>This board has received or disposed of the following Petitions for</w:t>
      </w:r>
      <w:r w:rsidR="00DB01F6">
        <w:t xml:space="preserve"> Declaratory Statement (if any):</w:t>
      </w:r>
    </w:p>
    <w:p w:rsidR="00321E89" w:rsidRDefault="00321E89" w:rsidP="00321E89">
      <w:pPr>
        <w:pStyle w:val="BlockText"/>
        <w:ind w:left="1440"/>
      </w:pPr>
    </w:p>
    <w:p w:rsidR="00DB01F6" w:rsidRDefault="00A903BC" w:rsidP="00DB01F6">
      <w:pPr>
        <w:pStyle w:val="BlockText"/>
        <w:numPr>
          <w:ilvl w:val="2"/>
          <w:numId w:val="32"/>
        </w:numPr>
      </w:pPr>
      <w:r>
        <w:t>Received on May 21, 2013 from Florida Power &amp; Light,</w:t>
      </w:r>
      <w:r w:rsidR="00321E89">
        <w:t xml:space="preserve"> asking w</w:t>
      </w:r>
      <w:r>
        <w:t xml:space="preserve">hat licenses, if any, are required pursuant to s. 489.113 for the installation of: 1"-4" conduit without wiring; concrete reinforced foundations for substation equipment; substation ground grid; minor yard grading; spreading of year rock cover; below grade pre-fabricated concrete </w:t>
      </w:r>
      <w:r>
        <w:lastRenderedPageBreak/>
        <w:t>electrical raceways without wiring; and pre-fabricated foundation to support lighting and miscellaneous equipment.</w:t>
      </w:r>
    </w:p>
    <w:p w:rsidR="00A903BC" w:rsidRDefault="00A903BC" w:rsidP="00A903BC">
      <w:pPr>
        <w:pStyle w:val="BlockText"/>
        <w:ind w:left="2520"/>
      </w:pPr>
    </w:p>
    <w:p w:rsidR="00A903BC" w:rsidRDefault="00A903BC" w:rsidP="00DB01F6">
      <w:pPr>
        <w:pStyle w:val="BlockText"/>
        <w:numPr>
          <w:ilvl w:val="2"/>
          <w:numId w:val="32"/>
        </w:numPr>
      </w:pPr>
      <w:r>
        <w:t>Received on May 21, 2013 from Brett Handler, Dreamstar Custom Homes, apparently seeking a determination of whether a general contractor building custom homes would be required to have separate bank accounts for each home or renovation project under contract.</w:t>
      </w:r>
    </w:p>
    <w:p w:rsidR="006A3547" w:rsidRDefault="006A3547" w:rsidP="00BD45AE">
      <w:pPr>
        <w:pStyle w:val="BlockText"/>
      </w:pPr>
    </w:p>
    <w:p w:rsidR="006A3547" w:rsidRDefault="006A3547" w:rsidP="00DB01F6">
      <w:pPr>
        <w:pStyle w:val="BlockText"/>
        <w:numPr>
          <w:ilvl w:val="2"/>
          <w:numId w:val="32"/>
        </w:numPr>
      </w:pPr>
      <w:r>
        <w:t>Received May 28, 2013 from City of Port Orange, regarding the applicability of ss. 489.105(3), 489.105(3)(n) and 489.113(9)(a) as to whether Danus Utilities, Inc. as a licensed Certified Underground Utility and Excavation Contractor is authorized to contact with the city "to perform the Bid #13-16 project."</w:t>
      </w:r>
    </w:p>
    <w:p w:rsidR="006A3547" w:rsidRDefault="006A3547" w:rsidP="006A3547">
      <w:pPr>
        <w:pStyle w:val="BlockText"/>
        <w:ind w:left="2520"/>
      </w:pPr>
      <w:r w:rsidRPr="006A3547">
        <w:rPr>
          <w:u w:val="single"/>
        </w:rPr>
        <w:t>Editor's Note:</w:t>
      </w:r>
      <w:r>
        <w:t xml:space="preserve"> In the form as stated, this petition probably fails to give adequate notice to the public as required by law regarding the details of the particular bid project.</w:t>
      </w:r>
    </w:p>
    <w:p w:rsidR="006A3547" w:rsidRDefault="006A3547" w:rsidP="006A3547">
      <w:pPr>
        <w:pStyle w:val="BlockText"/>
        <w:ind w:left="2520"/>
      </w:pPr>
    </w:p>
    <w:p w:rsidR="006A3547" w:rsidRDefault="006A3547" w:rsidP="00DB01F6">
      <w:pPr>
        <w:pStyle w:val="BlockText"/>
        <w:numPr>
          <w:ilvl w:val="2"/>
          <w:numId w:val="32"/>
        </w:numPr>
      </w:pPr>
      <w:r>
        <w:t>Received on June 11, 2013 from Nilo A. Hernandez, regarding the applicability of s. 489.118 as to whether an un registered roofing license can be grandfathered to a certified roofing license.</w:t>
      </w:r>
    </w:p>
    <w:p w:rsidR="006A3547" w:rsidRDefault="006A3547" w:rsidP="006A3547">
      <w:pPr>
        <w:pStyle w:val="BlockText"/>
        <w:ind w:left="2520"/>
      </w:pPr>
      <w:r w:rsidRPr="006A3547">
        <w:rPr>
          <w:u w:val="single"/>
        </w:rPr>
        <w:t>Editor's Note:</w:t>
      </w:r>
      <w:r>
        <w:t xml:space="preserve"> This petition recites a prior suit against the Miami-Dade County Licensing Board that purportedly held that local licenses couldn't be registered with CILB.</w:t>
      </w:r>
    </w:p>
    <w:p w:rsidR="00BD45AE" w:rsidRDefault="00BD45AE" w:rsidP="006A3547">
      <w:pPr>
        <w:pStyle w:val="BlockText"/>
        <w:ind w:left="2520"/>
      </w:pPr>
    </w:p>
    <w:p w:rsidR="00321E89" w:rsidRDefault="00BD45AE" w:rsidP="00BD45AE">
      <w:pPr>
        <w:pStyle w:val="BlockText"/>
        <w:numPr>
          <w:ilvl w:val="2"/>
          <w:numId w:val="32"/>
        </w:numPr>
      </w:pPr>
      <w:r>
        <w:t>Received June 24, 20313 from Pools by John Garner, Inc., regarding s. 489.113(9)(a) seeking a determination of whether a commercial pool contractor can include in a pool construction contract the construction of a "summer kitchen " on the pool deck where all other necessary work is subcontracted.</w:t>
      </w:r>
    </w:p>
    <w:p w:rsidR="002558FB" w:rsidRDefault="002558FB" w:rsidP="00321E89">
      <w:pPr>
        <w:pStyle w:val="BlockText"/>
      </w:pPr>
    </w:p>
    <w:p w:rsidR="00321E89" w:rsidRDefault="004E142A" w:rsidP="002558FB">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r w:rsidR="00BD45AE">
        <w:t>Nothing to report.</w:t>
      </w:r>
    </w:p>
    <w:p w:rsidR="000C4772" w:rsidRDefault="000C4772" w:rsidP="00BD45AE">
      <w:pPr>
        <w:pStyle w:val="BlockText"/>
      </w:pPr>
    </w:p>
    <w:p w:rsidR="009E2A70" w:rsidRDefault="004E142A" w:rsidP="009E2A70">
      <w:pPr>
        <w:pStyle w:val="BlockText"/>
        <w:numPr>
          <w:ilvl w:val="0"/>
          <w:numId w:val="32"/>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BD45AE" w:rsidRDefault="00BD45AE" w:rsidP="00BD45AE">
      <w:pPr>
        <w:pStyle w:val="BlockText"/>
        <w:numPr>
          <w:ilvl w:val="1"/>
          <w:numId w:val="32"/>
        </w:numPr>
      </w:pPr>
      <w:r>
        <w:t xml:space="preserve">This board has </w:t>
      </w:r>
      <w:r w:rsidR="00BE7523">
        <w:t>proposed</w:t>
      </w:r>
      <w:r>
        <w:t xml:space="preserve"> adopted, repealed or amended the following rules (if any): Rule 61G6-5.0036 to provide a rule concerning the certification of registered contractors.</w:t>
      </w:r>
    </w:p>
    <w:p w:rsidR="00BD45AE" w:rsidRDefault="00BD45AE" w:rsidP="00BD45AE">
      <w:pPr>
        <w:pStyle w:val="BlockText"/>
        <w:ind w:left="1800"/>
      </w:pPr>
    </w:p>
    <w:p w:rsidR="004E142A" w:rsidRDefault="004E142A" w:rsidP="00BD45AE">
      <w:pPr>
        <w:pStyle w:val="BlockText"/>
        <w:numPr>
          <w:ilvl w:val="1"/>
          <w:numId w:val="32"/>
        </w:numPr>
      </w:pPr>
      <w:r>
        <w:t xml:space="preserve">This board has received or disposed of the following Petitions for Declaratory Statement (if any): </w:t>
      </w:r>
      <w:r w:rsidR="00BD45AE">
        <w:t>Nothing to report.</w:t>
      </w:r>
      <w:r w:rsidR="00EF30B1">
        <w:t xml:space="preserve"> </w:t>
      </w:r>
    </w:p>
    <w:p w:rsidR="00A82F6F" w:rsidRDefault="00A82F6F" w:rsidP="00A82F6F">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BD45AE">
        <w:t>riance or Waiver (if any):</w:t>
      </w:r>
    </w:p>
    <w:p w:rsidR="00BD45AE" w:rsidRDefault="00BD45AE" w:rsidP="00BD45AE">
      <w:pPr>
        <w:pStyle w:val="BlockText"/>
        <w:ind w:left="1800"/>
      </w:pPr>
    </w:p>
    <w:p w:rsidR="00BD45AE" w:rsidRDefault="00BD45AE" w:rsidP="00BD45AE">
      <w:pPr>
        <w:pStyle w:val="BlockText"/>
        <w:numPr>
          <w:ilvl w:val="2"/>
          <w:numId w:val="32"/>
        </w:numPr>
      </w:pPr>
      <w:r>
        <w:t>Received on June 12, 2013, from William John Wenzel, Jr., seeking a waiver of Rule 61G6-5.002 regarding the requirement to take the business examination for an unlimited electrical license, and a waiver of Rule 61G6-6.017 regarding the tow-year validity of a passing examination score.</w:t>
      </w:r>
    </w:p>
    <w:p w:rsidR="001E3281" w:rsidRDefault="001E3281" w:rsidP="001E3281">
      <w:pPr>
        <w:pStyle w:val="BlockText"/>
        <w:ind w:left="2520"/>
      </w:pPr>
    </w:p>
    <w:p w:rsidR="001E3281" w:rsidRDefault="001E3281" w:rsidP="001E3281">
      <w:pPr>
        <w:pStyle w:val="BlockText"/>
        <w:numPr>
          <w:ilvl w:val="2"/>
          <w:numId w:val="32"/>
        </w:numPr>
      </w:pPr>
      <w:r>
        <w:t xml:space="preserve">Received on June 12, 2013, from Matthew </w:t>
      </w:r>
      <w:r w:rsidR="00BE7523">
        <w:t>Troy Wenzel</w:t>
      </w:r>
      <w:r>
        <w:t>, seeking a waiver of Rule 61G6-5.002 regarding the requirement to take the business examination for an unlimited electrical license, and a waiver of Rule 61G6-6.017 regarding the tow-year validity of a passing examination score.</w:t>
      </w:r>
    </w:p>
    <w:p w:rsidR="004E142A" w:rsidRDefault="004E142A" w:rsidP="001E3281">
      <w:pPr>
        <w:pStyle w:val="BlockText"/>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EF30B1" w:rsidRDefault="00E1125C" w:rsidP="004E142A">
      <w:pPr>
        <w:pStyle w:val="BlockText"/>
        <w:numPr>
          <w:ilvl w:val="1"/>
          <w:numId w:val="32"/>
        </w:numPr>
      </w:pPr>
      <w:r>
        <w:t>This board has proposed, adopted, repealed or amended the following rules (if any</w:t>
      </w:r>
      <w:r w:rsidR="00920535">
        <w:t xml:space="preserve">): </w:t>
      </w:r>
      <w:r w:rsidR="00273404">
        <w:t>Nothing new to report.</w:t>
      </w:r>
    </w:p>
    <w:p w:rsidR="004E142A" w:rsidRDefault="004E142A" w:rsidP="00273404">
      <w:pPr>
        <w:pStyle w:val="BlockText"/>
      </w:pP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This board has received or disposed of the following Petitions f</w:t>
      </w:r>
      <w:r w:rsidR="00273404">
        <w:t>or Variance or Waiver (if any):</w:t>
      </w:r>
    </w:p>
    <w:p w:rsidR="00273404" w:rsidRDefault="00273404" w:rsidP="00273404">
      <w:pPr>
        <w:pStyle w:val="BlockText"/>
        <w:ind w:left="1800"/>
      </w:pPr>
    </w:p>
    <w:p w:rsidR="00273404" w:rsidRDefault="00273404" w:rsidP="00273404">
      <w:pPr>
        <w:pStyle w:val="BlockText"/>
        <w:numPr>
          <w:ilvl w:val="2"/>
          <w:numId w:val="32"/>
        </w:numPr>
      </w:pPr>
      <w:r>
        <w:t xml:space="preserve">Received on April 4, 2013, from Susan Pridgen, seeking a waiver of Rule 61G1-22.002(1) regarding the diversified interior design experience </w:t>
      </w:r>
    </w:p>
    <w:p w:rsidR="00273404" w:rsidRDefault="00273404" w:rsidP="00273404">
      <w:pPr>
        <w:pStyle w:val="BlockText"/>
        <w:ind w:left="2520"/>
      </w:pPr>
    </w:p>
    <w:p w:rsidR="00273404" w:rsidRDefault="00273404" w:rsidP="00273404">
      <w:pPr>
        <w:pStyle w:val="BlockText"/>
        <w:numPr>
          <w:ilvl w:val="2"/>
          <w:numId w:val="32"/>
        </w:numPr>
      </w:pPr>
      <w:r>
        <w:t xml:space="preserve">Received on June 5, 2013, from Rosalinda Cortez Pegnato, seeking a waiver of Rule 61G1-22.002(1) regarding the diversified interior design experience </w:t>
      </w:r>
    </w:p>
    <w:p w:rsidR="004E2A5D" w:rsidRDefault="004E2A5D" w:rsidP="004E2A5D">
      <w:pPr>
        <w:pStyle w:val="BlockText"/>
        <w:ind w:left="1800"/>
      </w:pPr>
    </w:p>
    <w:p w:rsidR="004E142A" w:rsidRDefault="004E142A" w:rsidP="004E142A">
      <w:pPr>
        <w:pStyle w:val="BlockText"/>
        <w:numPr>
          <w:ilvl w:val="0"/>
          <w:numId w:val="32"/>
        </w:numPr>
      </w:pPr>
      <w:r w:rsidRPr="00EF1953">
        <w:rPr>
          <w:u w:val="single"/>
        </w:rPr>
        <w:t>Board of Landscape Architecture</w:t>
      </w:r>
      <w:r>
        <w:t xml:space="preserve"> – Chapter 481, Part II, FS and 61G10 FAC: </w:t>
      </w:r>
    </w:p>
    <w:p w:rsidR="004E142A" w:rsidRDefault="004E142A" w:rsidP="004E142A"/>
    <w:p w:rsidR="004E142A" w:rsidRDefault="004E142A" w:rsidP="004E142A">
      <w:pPr>
        <w:ind w:left="2160"/>
      </w:pPr>
      <w:r>
        <w:t>(Nothing to report)</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4204AE" w:rsidRDefault="00E1125C" w:rsidP="000340FB">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4E2A5D">
        <w:t>:</w:t>
      </w:r>
      <w:r w:rsidR="00FC470A">
        <w:t xml:space="preserve"> Nothing new to report.</w:t>
      </w:r>
    </w:p>
    <w:p w:rsidR="004E2A5D" w:rsidRDefault="004E2A5D" w:rsidP="004E2A5D">
      <w:pPr>
        <w:pStyle w:val="BlockText"/>
        <w:ind w:left="1800"/>
      </w:pPr>
    </w:p>
    <w:p w:rsidR="00FC470A" w:rsidRDefault="009E2A70" w:rsidP="00FC470A">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FC470A" w:rsidRDefault="00FC470A" w:rsidP="00FC470A">
      <w:pPr>
        <w:pStyle w:val="BlockText"/>
        <w:ind w:left="1800"/>
      </w:pPr>
    </w:p>
    <w:p w:rsidR="004E2A5D" w:rsidRDefault="009E2A70" w:rsidP="00FC470A">
      <w:pPr>
        <w:pStyle w:val="BlockText"/>
        <w:numPr>
          <w:ilvl w:val="1"/>
          <w:numId w:val="32"/>
        </w:numPr>
      </w:pPr>
      <w:r>
        <w:t>This board has received or disposed of the following Petitions for Va</w:t>
      </w:r>
      <w:r w:rsidR="00920535">
        <w:t>riance or Waiver (if any):</w:t>
      </w:r>
      <w:r w:rsidR="004E2A5D">
        <w:t xml:space="preserve"> None noticed.</w:t>
      </w:r>
    </w:p>
    <w:p w:rsidR="004E142A" w:rsidRDefault="004E142A" w:rsidP="004E2A5D">
      <w:pPr>
        <w:pStyle w:val="BlockText"/>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E1125C">
      <w:pPr>
        <w:pStyle w:val="BlockText"/>
        <w:numPr>
          <w:ilvl w:val="1"/>
          <w:numId w:val="32"/>
        </w:numPr>
      </w:pPr>
      <w:r>
        <w:t>This board has proposed, adopted, repealed or amended the following rules (if any):</w:t>
      </w:r>
      <w:r w:rsidR="004204AE">
        <w:t xml:space="preserve"> None</w:t>
      </w:r>
      <w:r w:rsidR="00920535">
        <w:t xml:space="preserve"> noticed</w:t>
      </w:r>
      <w:r w:rsidR="004204AE">
        <w:t>.</w:t>
      </w:r>
    </w:p>
    <w:p w:rsidR="004E142A" w:rsidRDefault="004E142A" w:rsidP="004E142A">
      <w:pPr>
        <w:pStyle w:val="BlockText"/>
      </w:pPr>
    </w:p>
    <w:p w:rsidR="004E2A5D" w:rsidRDefault="004E142A" w:rsidP="004E142A">
      <w:pPr>
        <w:pStyle w:val="BlockText"/>
        <w:numPr>
          <w:ilvl w:val="1"/>
          <w:numId w:val="32"/>
        </w:numPr>
      </w:pPr>
      <w:r>
        <w:t>This board has received or disposed of the following Petitions for Declaratory Statement (if any</w:t>
      </w:r>
      <w:r w:rsidR="004E2A5D">
        <w:t>): None noticed.</w:t>
      </w:r>
    </w:p>
    <w:p w:rsidR="004E2A5D" w:rsidRDefault="004E2A5D" w:rsidP="004E2A5D">
      <w:pPr>
        <w:pStyle w:val="BlockText"/>
        <w:ind w:left="1800"/>
      </w:pPr>
    </w:p>
    <w:p w:rsidR="004E142A" w:rsidRDefault="004E142A" w:rsidP="004E142A">
      <w:pPr>
        <w:pStyle w:val="BlockText"/>
        <w:numPr>
          <w:ilvl w:val="1"/>
          <w:numId w:val="32"/>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920535" w:rsidRDefault="00E1125C" w:rsidP="00920535">
      <w:pPr>
        <w:pStyle w:val="BlockText"/>
        <w:numPr>
          <w:ilvl w:val="1"/>
          <w:numId w:val="32"/>
        </w:numPr>
      </w:pPr>
      <w:r>
        <w:t>This board has proposed, adopted, repealed or amended the following rules (if any):</w:t>
      </w:r>
      <w:r w:rsidR="00920535">
        <w:t xml:space="preserve"> </w:t>
      </w:r>
    </w:p>
    <w:p w:rsidR="00B40CCF" w:rsidRDefault="00B40CCF" w:rsidP="00B40CCF">
      <w:pPr>
        <w:pStyle w:val="BlockText"/>
        <w:ind w:left="1800"/>
      </w:pPr>
    </w:p>
    <w:p w:rsidR="00B40CCF" w:rsidRDefault="00B40CCF" w:rsidP="00B40CCF">
      <w:pPr>
        <w:pStyle w:val="BlockText"/>
        <w:numPr>
          <w:ilvl w:val="2"/>
          <w:numId w:val="32"/>
        </w:numPr>
      </w:pPr>
      <w:r>
        <w:t xml:space="preserve">Rule 61G20-1.001, adopting annual "glitch" amendments to the 2010 Florida Building Code, will be considered by the Florida Building Commission at a </w:t>
      </w:r>
      <w:r>
        <w:rPr>
          <w:b/>
        </w:rPr>
        <w:t xml:space="preserve">public </w:t>
      </w:r>
      <w:r w:rsidRPr="00B40CCF">
        <w:rPr>
          <w:b/>
        </w:rPr>
        <w:t>workshop</w:t>
      </w:r>
      <w:r>
        <w:t xml:space="preserve"> to be held on August 22, 2013, beginning at 8:30 at the Boca Raton Marriott at Boca Center, 5150 ?Town Center Circle, Boca Raton, Florida.</w:t>
      </w:r>
    </w:p>
    <w:p w:rsidR="00B40CCF" w:rsidRDefault="00B40CCF" w:rsidP="00B40CCF">
      <w:pPr>
        <w:pStyle w:val="BlockText"/>
        <w:ind w:left="2520"/>
      </w:pPr>
    </w:p>
    <w:p w:rsidR="00B40CCF" w:rsidRDefault="00B40CCF" w:rsidP="00B40CCF">
      <w:pPr>
        <w:pStyle w:val="BlockText"/>
        <w:numPr>
          <w:ilvl w:val="2"/>
          <w:numId w:val="32"/>
        </w:numPr>
      </w:pPr>
      <w:r>
        <w:t>Rules 61G20-3.001, 3.002 and 3.007, to address the new product category "impact protective systems" to include applications for product approval using product evaluation reports from evaluation entities, other than from licensed engineers or architects.</w:t>
      </w:r>
      <w:r w:rsidR="0017187B">
        <w:t xml:space="preserve"> These proposed changes will ALSO be the subject of the </w:t>
      </w:r>
      <w:r w:rsidR="0017187B" w:rsidRPr="0017187B">
        <w:rPr>
          <w:b/>
        </w:rPr>
        <w:t>public workshop</w:t>
      </w:r>
      <w:r w:rsidR="0017187B">
        <w:t xml:space="preserve"> noted above.</w:t>
      </w:r>
    </w:p>
    <w:p w:rsidR="0017187B" w:rsidRDefault="0017187B" w:rsidP="0017187B">
      <w:pPr>
        <w:pStyle w:val="BlockText"/>
        <w:ind w:left="2520"/>
      </w:pPr>
    </w:p>
    <w:p w:rsidR="0017187B" w:rsidRDefault="0017187B" w:rsidP="00B40CCF">
      <w:pPr>
        <w:pStyle w:val="BlockText"/>
        <w:numPr>
          <w:ilvl w:val="2"/>
          <w:numId w:val="32"/>
        </w:numPr>
      </w:pPr>
      <w:r>
        <w:t>Rule 61G20-3.015, "Equivalence of Standards," is proposed for revisions to include ASTM E 1996-05 as being equivalent both to ASTM E 1996-02 and ASTM E 1996-06 with regard to impact protective performance of exterior windows, curtain walls, doors and impact protective systems and devices.</w:t>
      </w:r>
    </w:p>
    <w:p w:rsidR="004E2A5D" w:rsidRDefault="004E2A5D" w:rsidP="004E2A5D">
      <w:pPr>
        <w:pStyle w:val="BlockText"/>
        <w:ind w:left="1800"/>
      </w:pPr>
    </w:p>
    <w:p w:rsidR="0017187B" w:rsidRDefault="00E1125C" w:rsidP="0017187B">
      <w:pPr>
        <w:pStyle w:val="BlockText"/>
        <w:numPr>
          <w:ilvl w:val="1"/>
          <w:numId w:val="32"/>
        </w:numPr>
      </w:pPr>
      <w:r>
        <w:t xml:space="preserve">This board has received or disposed of the following Petitions for </w:t>
      </w:r>
      <w:r w:rsidR="004E2A5D">
        <w:t xml:space="preserve">Declaratory Statement: </w:t>
      </w:r>
      <w:r w:rsidR="0017187B">
        <w:t>Nothing noticed.</w:t>
      </w:r>
    </w:p>
    <w:p w:rsidR="0017187B" w:rsidRDefault="0017187B" w:rsidP="0017187B">
      <w:pPr>
        <w:pStyle w:val="BlockText"/>
        <w:ind w:left="1800"/>
      </w:pPr>
    </w:p>
    <w:p w:rsidR="000340FB" w:rsidRDefault="00941C32" w:rsidP="0017187B">
      <w:pPr>
        <w:pStyle w:val="BlockText"/>
        <w:ind w:firstLine="720"/>
      </w:pPr>
      <w:r>
        <w:t xml:space="preserve">8. </w:t>
      </w:r>
      <w:r w:rsidRPr="00941C32">
        <w:rPr>
          <w:u w:val="single"/>
        </w:rPr>
        <w:t>DBPR/Home Inspectors:</w:t>
      </w:r>
      <w:r>
        <w:t xml:space="preserve"> </w:t>
      </w:r>
      <w:r w:rsidR="004E2A5D">
        <w:t>Nothing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July 1, 2013, will (unless vetoed) 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8476AE" w:rsidP="004E142A">
      <w:pPr>
        <w:pStyle w:val="BlockText"/>
        <w:ind w:left="720"/>
        <w:rPr>
          <w:b/>
        </w:rPr>
      </w:pPr>
      <w:r>
        <w:t xml:space="preserve">Reminder: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r w:rsidR="008476AE">
        <w:t>: Nothing to report.</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8157CF" w:rsidP="008F58B8">
      <w:pPr>
        <w:pStyle w:val="BlockText"/>
        <w:ind w:left="1080"/>
        <w:rPr>
          <w:b/>
          <w:i/>
          <w:u w:val="single"/>
        </w:rPr>
      </w:pPr>
      <w:r>
        <w:rPr>
          <w:b/>
          <w:i/>
          <w:u w:val="single"/>
        </w:rPr>
        <w:t>LEGISLATIVE</w:t>
      </w:r>
      <w:r w:rsidR="004E142A" w:rsidRPr="003C265E">
        <w:rPr>
          <w:b/>
          <w:i/>
          <w:u w:val="single"/>
        </w:rPr>
        <w:t xml:space="preserve"> UNDATE: Out-of-state applicants who do NOT have </w:t>
      </w:r>
      <w:r>
        <w:rPr>
          <w:b/>
          <w:i/>
          <w:u w:val="single"/>
        </w:rPr>
        <w:t>"</w:t>
      </w:r>
      <w:r w:rsidR="004E142A" w:rsidRPr="003C265E">
        <w:rPr>
          <w:b/>
          <w:i/>
          <w:u w:val="single"/>
        </w:rPr>
        <w:t>Florida</w:t>
      </w:r>
      <w:r>
        <w:rPr>
          <w:b/>
          <w:i/>
          <w:u w:val="single"/>
        </w:rPr>
        <w:t>"</w:t>
      </w:r>
      <w:r w:rsidR="004E142A" w:rsidRPr="003C265E">
        <w:rPr>
          <w:b/>
          <w:i/>
          <w:u w:val="single"/>
        </w:rPr>
        <w:t xml:space="preserve"> driver’s licen</w:t>
      </w:r>
      <w:r>
        <w:rPr>
          <w:b/>
          <w:i/>
          <w:u w:val="single"/>
        </w:rPr>
        <w:t>se or identification card have been required</w:t>
      </w:r>
      <w:r w:rsidR="004E142A" w:rsidRPr="003C265E">
        <w:rPr>
          <w:b/>
          <w:i/>
          <w:u w:val="single"/>
        </w:rPr>
        <w:t xml:space="preserve"> submit their applications in hard copy for processing. This is a “glitch” </w:t>
      </w:r>
      <w:r>
        <w:rPr>
          <w:b/>
          <w:i/>
          <w:u w:val="single"/>
        </w:rPr>
        <w:t>from the statutory changes in 2012, which has been corrected in Section 2 of House Bill 563, effective July 1, 2013, if not vetoed.</w:t>
      </w:r>
    </w:p>
    <w:p w:rsidR="004E142A" w:rsidRDefault="004E142A" w:rsidP="004E142A">
      <w:pPr>
        <w:pStyle w:val="BlockText"/>
        <w:ind w:left="720"/>
        <w:rPr>
          <w:b/>
        </w:rPr>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476AE" w:rsidRDefault="0001260C" w:rsidP="0001260C">
      <w:pPr>
        <w:pStyle w:val="BlockText"/>
        <w:ind w:left="360"/>
      </w:pPr>
      <w:r>
        <w:t xml:space="preserve">3. Office of State Fire Marshal - Chapter 633, Florida Statutes and Chapter 69A, F.C.A.: </w:t>
      </w:r>
    </w:p>
    <w:p w:rsidR="008476AE" w:rsidRDefault="008476AE" w:rsidP="0001260C">
      <w:pPr>
        <w:pStyle w:val="BlockText"/>
        <w:ind w:left="360"/>
      </w:pPr>
    </w:p>
    <w:p w:rsidR="0001260C" w:rsidRDefault="008476AE" w:rsidP="0001260C">
      <w:pPr>
        <w:pStyle w:val="BlockText"/>
        <w:ind w:left="360"/>
      </w:pPr>
      <w:r>
        <w:t xml:space="preserve">Reminder: </w:t>
      </w:r>
      <w:r w:rsidR="0001260C">
        <w:t>Rule 69A-60.003, amended effective May 1, 2013, adopts the NPR 1, the Fire Code, Florida 2009 edition (as amended 3/2013 to add Section 18.4.1.3 to Section 18.4 - Fire Flow Requirements for Buildings).</w:t>
      </w:r>
    </w:p>
    <w:p w:rsidR="008476AE" w:rsidRDefault="008476AE" w:rsidP="0001260C">
      <w:pPr>
        <w:pStyle w:val="BlockText"/>
        <w:ind w:left="360"/>
      </w:pPr>
    </w:p>
    <w:p w:rsidR="0001260C" w:rsidRDefault="00757661" w:rsidP="00757661">
      <w:pPr>
        <w:pStyle w:val="BlockText"/>
        <w:ind w:left="360"/>
      </w:pPr>
      <w:r>
        <w:rPr>
          <w:u w:val="single"/>
        </w:rPr>
        <w:t>Note:</w:t>
      </w:r>
      <w:r>
        <w:t xml:space="preserve"> Section 1 of Senate Bill 1122, effective July 1, 2013 unless vetoed, creates a new section 633.0215(6)(b) which EXMEPTS certain structures from application of the Florida Fire Prevention Code.</w:t>
      </w:r>
    </w:p>
    <w:p w:rsidR="00940447" w:rsidRPr="00797252" w:rsidRDefault="00940447" w:rsidP="00D9771C">
      <w:pPr>
        <w:pStyle w:val="BlockText"/>
      </w:pPr>
    </w:p>
    <w:p w:rsidR="00530892"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 No new bills filed at the present time, but the Senate rules required all "Claims" bills to be filed by August 1</w:t>
      </w:r>
      <w:r w:rsidR="008476AE" w:rsidRPr="008476AE">
        <w:rPr>
          <w:vertAlign w:val="superscript"/>
        </w:rPr>
        <w:t>st</w:t>
      </w:r>
      <w:r w:rsidR="008476AE">
        <w:t xml:space="preserve"> of each year prior to the year in which those bills will be taken up in session.</w:t>
      </w:r>
    </w:p>
    <w:p w:rsidR="008476AE" w:rsidRDefault="008476AE" w:rsidP="008476AE">
      <w:pPr>
        <w:pStyle w:val="BlockText"/>
      </w:pPr>
    </w:p>
    <w:p w:rsidR="00695A6D" w:rsidRDefault="008476AE" w:rsidP="008476AE">
      <w:pPr>
        <w:pStyle w:val="BlockText"/>
        <w:ind w:left="720"/>
      </w:pPr>
      <w:r>
        <w:rPr>
          <w:u w:val="single"/>
        </w:rPr>
        <w:t>Reminder</w:t>
      </w:r>
      <w:r w:rsidR="00BE7523">
        <w:rPr>
          <w:u w:val="single"/>
        </w:rPr>
        <w:t>:</w:t>
      </w:r>
      <w:r w:rsidR="00BE7523">
        <w:t xml:space="preserve"> </w:t>
      </w:r>
      <w:r>
        <w:t>In 2013, t</w:t>
      </w:r>
      <w:r w:rsidR="00695A6D">
        <w:t>here were NO changes in Chapter 713 (</w:t>
      </w:r>
      <w:r w:rsidR="0066317C">
        <w:t>construction liens)</w:t>
      </w:r>
      <w:r w:rsidR="008157CF">
        <w:t>,</w:t>
      </w:r>
      <w:r w:rsidR="0066317C">
        <w:t xml:space="preserve"> except for correcting a</w:t>
      </w:r>
      <w:r w:rsidR="00695A6D">
        <w:t xml:space="preserve"> cross-reference to Chapter 633, and a cross-reference </w:t>
      </w:r>
      <w:r w:rsidR="0066317C">
        <w:t xml:space="preserve">in Senate Bill 112 </w:t>
      </w:r>
      <w:r w:rsidR="008157CF">
        <w:t>to Section 713.31 in order to</w:t>
      </w:r>
      <w:r w:rsidR="00695A6D">
        <w:t xml:space="preserve"> exclude fraudulent liens</w:t>
      </w:r>
      <w:r w:rsidR="0066317C">
        <w:t xml:space="preserve"> </w:t>
      </w:r>
      <w:r w:rsidR="008157CF">
        <w:t>from the new</w:t>
      </w:r>
      <w:r w:rsidR="0066317C">
        <w:t xml:space="preserve"> "crime" of filing a false document.</w:t>
      </w:r>
    </w:p>
    <w:p w:rsidR="00695A6D" w:rsidRDefault="00695A6D" w:rsidP="00695A6D">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156092" w:rsidRDefault="008476AE" w:rsidP="002B78B0">
      <w:pPr>
        <w:pStyle w:val="BlockText"/>
      </w:pPr>
      <w:r>
        <w:t>July 6</w:t>
      </w:r>
      <w:r w:rsidR="0029168D">
        <w:t>, 2</w:t>
      </w:r>
      <w:r w:rsidR="00156092">
        <w:t>012.</w:t>
      </w:r>
    </w:p>
    <w:p w:rsidR="009C6CE8" w:rsidRDefault="009C6CE8" w:rsidP="00922A6D">
      <w:pPr>
        <w:pStyle w:val="BlockText"/>
        <w:ind w:left="360"/>
      </w:pPr>
    </w:p>
    <w:p w:rsidR="005B581D" w:rsidRDefault="005B581D">
      <w:pPr>
        <w:pStyle w:val="BlockText"/>
        <w:ind w:left="360"/>
      </w:pPr>
    </w:p>
    <w:sectPr w:rsidR="005B581D"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C8B" w:rsidRDefault="00CF5C8B" w:rsidP="009A2CBA">
      <w:r>
        <w:separator/>
      </w:r>
    </w:p>
  </w:endnote>
  <w:endnote w:type="continuationSeparator" w:id="0">
    <w:p w:rsidR="00CF5C8B" w:rsidRDefault="00CF5C8B"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C7E" w:rsidRDefault="00A85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Default="00C014A9" w:rsidP="000421B5">
    <w:pPr>
      <w:pStyle w:val="Footer"/>
    </w:pPr>
    <w:r>
      <w:tab/>
    </w:r>
    <w:fldSimple w:instr=" PAGE   \* MERGEFORMAT ">
      <w:r w:rsidR="007B30B9">
        <w:rPr>
          <w:noProof/>
        </w:rPr>
        <w:t>2</w:t>
      </w:r>
    </w:fldSimple>
  </w:p>
  <w:p w:rsidR="00C014A9" w:rsidRPr="00911FE4" w:rsidRDefault="00A85C7E" w:rsidP="000421B5">
    <w:pPr>
      <w:pStyle w:val="Footer"/>
      <w:rPr>
        <w:rStyle w:val="DocID"/>
      </w:rPr>
    </w:pPr>
    <w:r w:rsidRPr="00A85C7E">
      <w:rPr>
        <w:rStyle w:val="DocID"/>
      </w:rPr>
      <w:t>#24049237_v1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Pr="00911FE4" w:rsidRDefault="00FD005F" w:rsidP="000421B5">
    <w:pPr>
      <w:pStyle w:val="Footer"/>
      <w:rPr>
        <w:rStyle w:val="DocID"/>
      </w:rPr>
    </w:pPr>
    <w:r>
      <w:rPr>
        <w:sz w:val="20"/>
      </w:rPr>
      <w:fldChar w:fldCharType="begin"/>
    </w:r>
    <w:r w:rsidR="00C014A9">
      <w:rPr>
        <w:sz w:val="20"/>
      </w:rPr>
      <w:instrText xml:space="preserve"> If </w:instrText>
    </w:r>
    <w:r>
      <w:rPr>
        <w:sz w:val="20"/>
      </w:rPr>
      <w:fldChar w:fldCharType="begin"/>
    </w:r>
    <w:r w:rsidR="00C014A9">
      <w:rPr>
        <w:sz w:val="20"/>
      </w:rPr>
      <w:instrText xml:space="preserve"> numpages </w:instrText>
    </w:r>
    <w:r>
      <w:rPr>
        <w:sz w:val="20"/>
      </w:rPr>
      <w:fldChar w:fldCharType="separate"/>
    </w:r>
    <w:r w:rsidR="007B30B9">
      <w:rPr>
        <w:noProof/>
        <w:sz w:val="20"/>
      </w:rPr>
      <w:instrText>1</w:instrText>
    </w:r>
    <w:r>
      <w:rPr>
        <w:sz w:val="20"/>
      </w:rPr>
      <w:fldChar w:fldCharType="end"/>
    </w:r>
    <w:r w:rsidR="00C014A9">
      <w:rPr>
        <w:sz w:val="20"/>
      </w:rPr>
      <w:instrText xml:space="preserve"> = 1 </w:instrText>
    </w:r>
    <w:r w:rsidR="00C014A9" w:rsidRPr="007D14A8">
      <w:rPr>
        <w:rStyle w:val="DocID"/>
      </w:rPr>
      <w:instrText>#12612613_v1</w:instrText>
    </w:r>
    <w:r w:rsidR="00C014A9">
      <w:instrText xml:space="preserve"> ""</w:instrText>
    </w:r>
    <w:r w:rsidR="00C014A9">
      <w:rPr>
        <w:sz w:val="20"/>
      </w:rPr>
      <w:instrText xml:space="preserve"> </w:instrText>
    </w:r>
    <w:r w:rsidR="007B30B9">
      <w:rPr>
        <w:sz w:val="20"/>
      </w:rPr>
      <w:fldChar w:fldCharType="separate"/>
    </w:r>
    <w:r w:rsidR="007B30B9" w:rsidRPr="007D14A8">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C8B" w:rsidRDefault="00CF5C8B" w:rsidP="009A2CBA">
      <w:r>
        <w:separator/>
      </w:r>
    </w:p>
  </w:footnote>
  <w:footnote w:type="continuationSeparator" w:id="0">
    <w:p w:rsidR="00CF5C8B" w:rsidRDefault="00CF5C8B" w:rsidP="009A2CBA">
      <w:r>
        <w:continuationSeparator/>
      </w:r>
    </w:p>
  </w:footnote>
  <w:footnote w:id="1">
    <w:p w:rsidR="00491907" w:rsidRPr="0038047E" w:rsidRDefault="00C014A9" w:rsidP="00491907">
      <w:pPr>
        <w:pStyle w:val="BlockText"/>
      </w:pPr>
      <w:r>
        <w:rPr>
          <w:rStyle w:val="FootnoteReference"/>
        </w:rPr>
        <w:footnoteRef/>
      </w:r>
      <w:r w:rsidR="00E1125C">
        <w:t xml:space="preserve"> This agency is not allowed to grant variances or waivers from the Florida Building Code, expect as to handicapped accessibility</w:t>
      </w:r>
      <w:r w:rsidR="00491907">
        <w:t xml:space="preserve">. </w:t>
      </w:r>
      <w:r w:rsidR="00491907" w:rsidRPr="0038047E">
        <w:t xml:space="preserve">As part of the TRANSFER of this commission from the now-defunct Department of Community Affairs to the Department of Business and Professional Regulation, all rules from </w:t>
      </w:r>
      <w:r w:rsidR="00491907">
        <w:t xml:space="preserve">former </w:t>
      </w:r>
      <w:r w:rsidR="00491907" w:rsidRPr="0038047E">
        <w:t>Chapter 9N have been TRANSFERRED to Chapter 61G20, FAC.</w:t>
      </w:r>
    </w:p>
    <w:p w:rsidR="00C014A9" w:rsidRDefault="00C014A9" w:rsidP="004E142A">
      <w:pPr>
        <w:pStyle w:val="BlockText"/>
      </w:pPr>
    </w:p>
    <w:p w:rsidR="00C014A9" w:rsidRDefault="00C014A9"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C7E" w:rsidRDefault="00A85C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C7E" w:rsidRDefault="00A85C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C7E" w:rsidRDefault="00A85C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74EDF"/>
    <w:rsid w:val="00084298"/>
    <w:rsid w:val="00094361"/>
    <w:rsid w:val="000A3246"/>
    <w:rsid w:val="000A4BA4"/>
    <w:rsid w:val="000B0E17"/>
    <w:rsid w:val="000B1DDB"/>
    <w:rsid w:val="000B2203"/>
    <w:rsid w:val="000B76DD"/>
    <w:rsid w:val="000C4772"/>
    <w:rsid w:val="000D2555"/>
    <w:rsid w:val="000D45A1"/>
    <w:rsid w:val="000D7A4E"/>
    <w:rsid w:val="000E17E8"/>
    <w:rsid w:val="000E6D1A"/>
    <w:rsid w:val="000F112D"/>
    <w:rsid w:val="000F2EBD"/>
    <w:rsid w:val="000F6911"/>
    <w:rsid w:val="000F69D8"/>
    <w:rsid w:val="00100E22"/>
    <w:rsid w:val="00103CDF"/>
    <w:rsid w:val="0010433D"/>
    <w:rsid w:val="00107362"/>
    <w:rsid w:val="00110D3B"/>
    <w:rsid w:val="001114F7"/>
    <w:rsid w:val="001148B5"/>
    <w:rsid w:val="001156AF"/>
    <w:rsid w:val="00117224"/>
    <w:rsid w:val="00117544"/>
    <w:rsid w:val="00121A5A"/>
    <w:rsid w:val="00126ABD"/>
    <w:rsid w:val="0013367A"/>
    <w:rsid w:val="00135B1C"/>
    <w:rsid w:val="001437FC"/>
    <w:rsid w:val="00146E4E"/>
    <w:rsid w:val="001476D7"/>
    <w:rsid w:val="00151720"/>
    <w:rsid w:val="00151F43"/>
    <w:rsid w:val="00156092"/>
    <w:rsid w:val="001572A8"/>
    <w:rsid w:val="001673C5"/>
    <w:rsid w:val="0017187B"/>
    <w:rsid w:val="00172C04"/>
    <w:rsid w:val="00175923"/>
    <w:rsid w:val="0019065B"/>
    <w:rsid w:val="001963BC"/>
    <w:rsid w:val="001B0E80"/>
    <w:rsid w:val="001B11FD"/>
    <w:rsid w:val="001B5A99"/>
    <w:rsid w:val="001B5DD4"/>
    <w:rsid w:val="001B6195"/>
    <w:rsid w:val="001B73F6"/>
    <w:rsid w:val="001D0121"/>
    <w:rsid w:val="001D1B70"/>
    <w:rsid w:val="001D25D1"/>
    <w:rsid w:val="001D50A8"/>
    <w:rsid w:val="001E327E"/>
    <w:rsid w:val="001E3281"/>
    <w:rsid w:val="001F01B4"/>
    <w:rsid w:val="001F18CD"/>
    <w:rsid w:val="001F7DB9"/>
    <w:rsid w:val="00200951"/>
    <w:rsid w:val="00210263"/>
    <w:rsid w:val="00221926"/>
    <w:rsid w:val="00221AAE"/>
    <w:rsid w:val="00222C12"/>
    <w:rsid w:val="002236E8"/>
    <w:rsid w:val="0022445A"/>
    <w:rsid w:val="00227443"/>
    <w:rsid w:val="002321A5"/>
    <w:rsid w:val="002348A5"/>
    <w:rsid w:val="002363CA"/>
    <w:rsid w:val="00236AB0"/>
    <w:rsid w:val="00237AEC"/>
    <w:rsid w:val="00243FF8"/>
    <w:rsid w:val="00246D22"/>
    <w:rsid w:val="00251EB1"/>
    <w:rsid w:val="00252DC4"/>
    <w:rsid w:val="002558FB"/>
    <w:rsid w:val="00262A25"/>
    <w:rsid w:val="002630F7"/>
    <w:rsid w:val="00273404"/>
    <w:rsid w:val="00274276"/>
    <w:rsid w:val="002857BE"/>
    <w:rsid w:val="00286558"/>
    <w:rsid w:val="00286B40"/>
    <w:rsid w:val="00290B6F"/>
    <w:rsid w:val="0029168D"/>
    <w:rsid w:val="00292E15"/>
    <w:rsid w:val="00294F80"/>
    <w:rsid w:val="002A4DD8"/>
    <w:rsid w:val="002A777F"/>
    <w:rsid w:val="002B09F1"/>
    <w:rsid w:val="002B0DFC"/>
    <w:rsid w:val="002B3E98"/>
    <w:rsid w:val="002B78B0"/>
    <w:rsid w:val="002C378F"/>
    <w:rsid w:val="002C5E1D"/>
    <w:rsid w:val="002D1599"/>
    <w:rsid w:val="002D4362"/>
    <w:rsid w:val="002E2A6D"/>
    <w:rsid w:val="002F015B"/>
    <w:rsid w:val="002F16B3"/>
    <w:rsid w:val="00305D83"/>
    <w:rsid w:val="00305FDE"/>
    <w:rsid w:val="00311BC1"/>
    <w:rsid w:val="003134D3"/>
    <w:rsid w:val="0031487D"/>
    <w:rsid w:val="003154E8"/>
    <w:rsid w:val="00321E89"/>
    <w:rsid w:val="003239B0"/>
    <w:rsid w:val="0032598E"/>
    <w:rsid w:val="003319A7"/>
    <w:rsid w:val="00332825"/>
    <w:rsid w:val="003376F7"/>
    <w:rsid w:val="00340637"/>
    <w:rsid w:val="00340740"/>
    <w:rsid w:val="00340B4E"/>
    <w:rsid w:val="00345235"/>
    <w:rsid w:val="003473F4"/>
    <w:rsid w:val="003563EF"/>
    <w:rsid w:val="0036439B"/>
    <w:rsid w:val="00376DA1"/>
    <w:rsid w:val="0038047E"/>
    <w:rsid w:val="00383EFB"/>
    <w:rsid w:val="00384141"/>
    <w:rsid w:val="00385904"/>
    <w:rsid w:val="003A0148"/>
    <w:rsid w:val="003A1E91"/>
    <w:rsid w:val="003A33A5"/>
    <w:rsid w:val="003A4FB0"/>
    <w:rsid w:val="003B5B30"/>
    <w:rsid w:val="003C09F0"/>
    <w:rsid w:val="003C265E"/>
    <w:rsid w:val="003C50CC"/>
    <w:rsid w:val="003D34DF"/>
    <w:rsid w:val="003D6EAC"/>
    <w:rsid w:val="003D7308"/>
    <w:rsid w:val="003E13A7"/>
    <w:rsid w:val="003E3843"/>
    <w:rsid w:val="003F4811"/>
    <w:rsid w:val="003F5F1A"/>
    <w:rsid w:val="00416C25"/>
    <w:rsid w:val="004200FB"/>
    <w:rsid w:val="004204AE"/>
    <w:rsid w:val="00425FE8"/>
    <w:rsid w:val="00427E2F"/>
    <w:rsid w:val="00436BA2"/>
    <w:rsid w:val="004406AC"/>
    <w:rsid w:val="00441CD1"/>
    <w:rsid w:val="00454846"/>
    <w:rsid w:val="0045543B"/>
    <w:rsid w:val="0046192D"/>
    <w:rsid w:val="004634BE"/>
    <w:rsid w:val="00465432"/>
    <w:rsid w:val="0047003F"/>
    <w:rsid w:val="00474D96"/>
    <w:rsid w:val="00484B9C"/>
    <w:rsid w:val="00491907"/>
    <w:rsid w:val="00492027"/>
    <w:rsid w:val="004A0671"/>
    <w:rsid w:val="004A451E"/>
    <w:rsid w:val="004A5613"/>
    <w:rsid w:val="004A582F"/>
    <w:rsid w:val="004A6E9B"/>
    <w:rsid w:val="004B196B"/>
    <w:rsid w:val="004C458B"/>
    <w:rsid w:val="004C63D8"/>
    <w:rsid w:val="004C7846"/>
    <w:rsid w:val="004E142A"/>
    <w:rsid w:val="004E2A5D"/>
    <w:rsid w:val="004E35D0"/>
    <w:rsid w:val="004E61C2"/>
    <w:rsid w:val="004E7067"/>
    <w:rsid w:val="004F030C"/>
    <w:rsid w:val="004F3D87"/>
    <w:rsid w:val="00500503"/>
    <w:rsid w:val="00504537"/>
    <w:rsid w:val="005063F3"/>
    <w:rsid w:val="0051221A"/>
    <w:rsid w:val="00512724"/>
    <w:rsid w:val="00520F5E"/>
    <w:rsid w:val="005237C4"/>
    <w:rsid w:val="00530892"/>
    <w:rsid w:val="00530CD6"/>
    <w:rsid w:val="00535353"/>
    <w:rsid w:val="00535A2B"/>
    <w:rsid w:val="00540398"/>
    <w:rsid w:val="005463F4"/>
    <w:rsid w:val="00553CBE"/>
    <w:rsid w:val="00555FBF"/>
    <w:rsid w:val="005665C2"/>
    <w:rsid w:val="0059572F"/>
    <w:rsid w:val="005A61CC"/>
    <w:rsid w:val="005A74C3"/>
    <w:rsid w:val="005B212C"/>
    <w:rsid w:val="005B2CCD"/>
    <w:rsid w:val="005B558F"/>
    <w:rsid w:val="005B581D"/>
    <w:rsid w:val="005C08FA"/>
    <w:rsid w:val="005C40F9"/>
    <w:rsid w:val="005C5CFC"/>
    <w:rsid w:val="005D217B"/>
    <w:rsid w:val="005D5F3E"/>
    <w:rsid w:val="005D71D8"/>
    <w:rsid w:val="005E4539"/>
    <w:rsid w:val="005F17D4"/>
    <w:rsid w:val="005F1FB3"/>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76C4D"/>
    <w:rsid w:val="00685808"/>
    <w:rsid w:val="00695A6D"/>
    <w:rsid w:val="00697F28"/>
    <w:rsid w:val="006A3547"/>
    <w:rsid w:val="006A3A6B"/>
    <w:rsid w:val="006A50BC"/>
    <w:rsid w:val="006B1D63"/>
    <w:rsid w:val="006B60DD"/>
    <w:rsid w:val="006C5A7D"/>
    <w:rsid w:val="006C704A"/>
    <w:rsid w:val="006D3AD0"/>
    <w:rsid w:val="006D7744"/>
    <w:rsid w:val="006E3B26"/>
    <w:rsid w:val="006E5C27"/>
    <w:rsid w:val="006F336C"/>
    <w:rsid w:val="006F4CE9"/>
    <w:rsid w:val="007017B0"/>
    <w:rsid w:val="0070218E"/>
    <w:rsid w:val="007065A1"/>
    <w:rsid w:val="007135EE"/>
    <w:rsid w:val="007150E1"/>
    <w:rsid w:val="00722B80"/>
    <w:rsid w:val="0074468A"/>
    <w:rsid w:val="00757661"/>
    <w:rsid w:val="00760E2D"/>
    <w:rsid w:val="00774A2B"/>
    <w:rsid w:val="007755F6"/>
    <w:rsid w:val="00780CCE"/>
    <w:rsid w:val="007862BD"/>
    <w:rsid w:val="007870BA"/>
    <w:rsid w:val="00793514"/>
    <w:rsid w:val="00795394"/>
    <w:rsid w:val="00797252"/>
    <w:rsid w:val="007977D0"/>
    <w:rsid w:val="007A040E"/>
    <w:rsid w:val="007A2C34"/>
    <w:rsid w:val="007A7335"/>
    <w:rsid w:val="007B30B9"/>
    <w:rsid w:val="007B455D"/>
    <w:rsid w:val="007C3596"/>
    <w:rsid w:val="007C479E"/>
    <w:rsid w:val="007C534A"/>
    <w:rsid w:val="007D14A8"/>
    <w:rsid w:val="007E128E"/>
    <w:rsid w:val="007E2299"/>
    <w:rsid w:val="007E4176"/>
    <w:rsid w:val="007F16BD"/>
    <w:rsid w:val="007F2F12"/>
    <w:rsid w:val="007F63B9"/>
    <w:rsid w:val="007F6E51"/>
    <w:rsid w:val="00801B02"/>
    <w:rsid w:val="00806AA8"/>
    <w:rsid w:val="00812FF0"/>
    <w:rsid w:val="008157CF"/>
    <w:rsid w:val="00820D75"/>
    <w:rsid w:val="00821688"/>
    <w:rsid w:val="008219AB"/>
    <w:rsid w:val="0082467E"/>
    <w:rsid w:val="008271F6"/>
    <w:rsid w:val="00832281"/>
    <w:rsid w:val="00832A42"/>
    <w:rsid w:val="0083319A"/>
    <w:rsid w:val="00833649"/>
    <w:rsid w:val="008476AE"/>
    <w:rsid w:val="0086294F"/>
    <w:rsid w:val="008642DB"/>
    <w:rsid w:val="00864F61"/>
    <w:rsid w:val="008667F9"/>
    <w:rsid w:val="008714D7"/>
    <w:rsid w:val="00875906"/>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F58B8"/>
    <w:rsid w:val="008F6B36"/>
    <w:rsid w:val="009008DD"/>
    <w:rsid w:val="009024B4"/>
    <w:rsid w:val="0090334E"/>
    <w:rsid w:val="009037AF"/>
    <w:rsid w:val="0090427C"/>
    <w:rsid w:val="00910237"/>
    <w:rsid w:val="00912B18"/>
    <w:rsid w:val="00913DE9"/>
    <w:rsid w:val="00920535"/>
    <w:rsid w:val="00922A6D"/>
    <w:rsid w:val="009242EA"/>
    <w:rsid w:val="00925E5C"/>
    <w:rsid w:val="00927A0D"/>
    <w:rsid w:val="00927EF0"/>
    <w:rsid w:val="00933C83"/>
    <w:rsid w:val="00936542"/>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CE8"/>
    <w:rsid w:val="009C6F42"/>
    <w:rsid w:val="009E1F25"/>
    <w:rsid w:val="009E2A70"/>
    <w:rsid w:val="009E489B"/>
    <w:rsid w:val="009F3168"/>
    <w:rsid w:val="009F3454"/>
    <w:rsid w:val="009F4440"/>
    <w:rsid w:val="00A0246B"/>
    <w:rsid w:val="00A03908"/>
    <w:rsid w:val="00A05724"/>
    <w:rsid w:val="00A11C23"/>
    <w:rsid w:val="00A17D94"/>
    <w:rsid w:val="00A23BA0"/>
    <w:rsid w:val="00A24F93"/>
    <w:rsid w:val="00A314FA"/>
    <w:rsid w:val="00A3799B"/>
    <w:rsid w:val="00A413D5"/>
    <w:rsid w:val="00A47BAD"/>
    <w:rsid w:val="00A47D5F"/>
    <w:rsid w:val="00A52BEC"/>
    <w:rsid w:val="00A57777"/>
    <w:rsid w:val="00A57E0F"/>
    <w:rsid w:val="00A82F6F"/>
    <w:rsid w:val="00A85C7E"/>
    <w:rsid w:val="00A862A4"/>
    <w:rsid w:val="00A903BC"/>
    <w:rsid w:val="00A92BA2"/>
    <w:rsid w:val="00A9360E"/>
    <w:rsid w:val="00A973D9"/>
    <w:rsid w:val="00AA1C3B"/>
    <w:rsid w:val="00AA20DC"/>
    <w:rsid w:val="00AA2435"/>
    <w:rsid w:val="00AA49B9"/>
    <w:rsid w:val="00AB6124"/>
    <w:rsid w:val="00AB759F"/>
    <w:rsid w:val="00AB7A77"/>
    <w:rsid w:val="00AC560D"/>
    <w:rsid w:val="00AD19E4"/>
    <w:rsid w:val="00AD319B"/>
    <w:rsid w:val="00AD3673"/>
    <w:rsid w:val="00AD4A48"/>
    <w:rsid w:val="00AE0C03"/>
    <w:rsid w:val="00AE40E2"/>
    <w:rsid w:val="00AE4928"/>
    <w:rsid w:val="00AF4CC5"/>
    <w:rsid w:val="00B02CB3"/>
    <w:rsid w:val="00B04E9C"/>
    <w:rsid w:val="00B102F7"/>
    <w:rsid w:val="00B11BE8"/>
    <w:rsid w:val="00B1354A"/>
    <w:rsid w:val="00B231A5"/>
    <w:rsid w:val="00B33726"/>
    <w:rsid w:val="00B34CB8"/>
    <w:rsid w:val="00B40CCF"/>
    <w:rsid w:val="00B43413"/>
    <w:rsid w:val="00B51F07"/>
    <w:rsid w:val="00B55AA9"/>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D0579"/>
    <w:rsid w:val="00BD1D69"/>
    <w:rsid w:val="00BD45AE"/>
    <w:rsid w:val="00BE7523"/>
    <w:rsid w:val="00BE7E71"/>
    <w:rsid w:val="00BF06EC"/>
    <w:rsid w:val="00BF09D3"/>
    <w:rsid w:val="00BF5744"/>
    <w:rsid w:val="00BF5A88"/>
    <w:rsid w:val="00C00519"/>
    <w:rsid w:val="00C014A9"/>
    <w:rsid w:val="00C02420"/>
    <w:rsid w:val="00C04971"/>
    <w:rsid w:val="00C0615F"/>
    <w:rsid w:val="00C10CCD"/>
    <w:rsid w:val="00C10FB4"/>
    <w:rsid w:val="00C15A97"/>
    <w:rsid w:val="00C16757"/>
    <w:rsid w:val="00C17A11"/>
    <w:rsid w:val="00C25BD9"/>
    <w:rsid w:val="00C41104"/>
    <w:rsid w:val="00C41134"/>
    <w:rsid w:val="00C42CAD"/>
    <w:rsid w:val="00C4400E"/>
    <w:rsid w:val="00C46B9E"/>
    <w:rsid w:val="00C527C3"/>
    <w:rsid w:val="00C552DE"/>
    <w:rsid w:val="00C55BAE"/>
    <w:rsid w:val="00C609C2"/>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DBD"/>
    <w:rsid w:val="00CF37B7"/>
    <w:rsid w:val="00CF5C8B"/>
    <w:rsid w:val="00CF7C33"/>
    <w:rsid w:val="00D025A9"/>
    <w:rsid w:val="00D15049"/>
    <w:rsid w:val="00D17EF8"/>
    <w:rsid w:val="00D318BB"/>
    <w:rsid w:val="00D31E05"/>
    <w:rsid w:val="00D35E4B"/>
    <w:rsid w:val="00D42313"/>
    <w:rsid w:val="00D45220"/>
    <w:rsid w:val="00D51EF8"/>
    <w:rsid w:val="00D532DF"/>
    <w:rsid w:val="00D550EA"/>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01F6"/>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267AB"/>
    <w:rsid w:val="00E30C2C"/>
    <w:rsid w:val="00E311DC"/>
    <w:rsid w:val="00E31752"/>
    <w:rsid w:val="00E3534A"/>
    <w:rsid w:val="00E4082C"/>
    <w:rsid w:val="00E4444A"/>
    <w:rsid w:val="00E576B4"/>
    <w:rsid w:val="00E64091"/>
    <w:rsid w:val="00E66470"/>
    <w:rsid w:val="00E67C64"/>
    <w:rsid w:val="00E71BDF"/>
    <w:rsid w:val="00E8267C"/>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53"/>
    <w:rsid w:val="00EF2D9E"/>
    <w:rsid w:val="00EF30B1"/>
    <w:rsid w:val="00EF3BC8"/>
    <w:rsid w:val="00EF7F7D"/>
    <w:rsid w:val="00F003DC"/>
    <w:rsid w:val="00F012AB"/>
    <w:rsid w:val="00F023FE"/>
    <w:rsid w:val="00F06E3E"/>
    <w:rsid w:val="00F07308"/>
    <w:rsid w:val="00F0773C"/>
    <w:rsid w:val="00F10ABD"/>
    <w:rsid w:val="00F1558B"/>
    <w:rsid w:val="00F15B84"/>
    <w:rsid w:val="00F16CBD"/>
    <w:rsid w:val="00F17078"/>
    <w:rsid w:val="00F21394"/>
    <w:rsid w:val="00F3234E"/>
    <w:rsid w:val="00F33F66"/>
    <w:rsid w:val="00F372CE"/>
    <w:rsid w:val="00F4233A"/>
    <w:rsid w:val="00F42B22"/>
    <w:rsid w:val="00F43272"/>
    <w:rsid w:val="00F45EBD"/>
    <w:rsid w:val="00F50B67"/>
    <w:rsid w:val="00F52831"/>
    <w:rsid w:val="00F53B73"/>
    <w:rsid w:val="00F53D3E"/>
    <w:rsid w:val="00F56C3E"/>
    <w:rsid w:val="00F60C95"/>
    <w:rsid w:val="00F61714"/>
    <w:rsid w:val="00F7015E"/>
    <w:rsid w:val="00F7297C"/>
    <w:rsid w:val="00F777FA"/>
    <w:rsid w:val="00F828AE"/>
    <w:rsid w:val="00F8540B"/>
    <w:rsid w:val="00F85ED6"/>
    <w:rsid w:val="00F91098"/>
    <w:rsid w:val="00F9398C"/>
    <w:rsid w:val="00F9535D"/>
    <w:rsid w:val="00F97BF7"/>
    <w:rsid w:val="00FA0D68"/>
    <w:rsid w:val="00FA2710"/>
    <w:rsid w:val="00FA5090"/>
    <w:rsid w:val="00FA7229"/>
    <w:rsid w:val="00FA7F61"/>
    <w:rsid w:val="00FB554A"/>
    <w:rsid w:val="00FB588A"/>
    <w:rsid w:val="00FC0694"/>
    <w:rsid w:val="00FC470A"/>
    <w:rsid w:val="00FC6F29"/>
    <w:rsid w:val="00FD005F"/>
    <w:rsid w:val="00FD1341"/>
    <w:rsid w:val="00FE363C"/>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2496</Words>
  <Characters>13599</Characters>
  <Application>Microsoft Office Word</Application>
  <DocSecurity>0</DocSecurity>
  <Lines>314</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2013-07-07T17:17:00Z</cp:lastPrinted>
  <dcterms:created xsi:type="dcterms:W3CDTF">2013-07-07T17:23:00Z</dcterms:created>
  <dcterms:modified xsi:type="dcterms:W3CDTF">2013-07-07T17:23:00Z</dcterms:modified>
  <cp:category> </cp:category>
  <cp:contentStatus> </cp:contentStatus>
</cp:coreProperties>
</file>