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6F4CE9">
        <w:t xml:space="preserve"> May </w:t>
      </w:r>
      <w:r w:rsidR="00FA0D68">
        <w:t>2013</w:t>
      </w:r>
    </w:p>
    <w:p w:rsidR="00D9771C" w:rsidRDefault="00D9771C" w:rsidP="00F9535D">
      <w:pPr>
        <w:pStyle w:val="BlockText"/>
      </w:pPr>
    </w:p>
    <w:p w:rsidR="006F4CE9" w:rsidRDefault="006F4CE9" w:rsidP="00D9771C">
      <w:pPr>
        <w:pStyle w:val="BlockText"/>
        <w:rPr>
          <w:b/>
          <w:u w:val="single"/>
        </w:rPr>
      </w:pPr>
      <w:r>
        <w:rPr>
          <w:b/>
          <w:u w:val="single"/>
        </w:rPr>
        <w:t>Trial Court Decisions:</w:t>
      </w:r>
    </w:p>
    <w:p w:rsidR="006F4CE9" w:rsidRDefault="006F4CE9" w:rsidP="00D9771C">
      <w:pPr>
        <w:pStyle w:val="BlockText"/>
        <w:rPr>
          <w:b/>
          <w:u w:val="single"/>
        </w:rPr>
      </w:pPr>
    </w:p>
    <w:p w:rsidR="006F4CE9" w:rsidRDefault="006F4CE9" w:rsidP="00D9771C">
      <w:pPr>
        <w:pStyle w:val="BlockText"/>
      </w:pPr>
      <w:r>
        <w:tab/>
      </w:r>
      <w:r w:rsidRPr="006F4CE9">
        <w:rPr>
          <w:i/>
          <w:u w:val="single"/>
        </w:rPr>
        <w:t>Central Park LV Condominium Association, Inc. v. Summit Constructors, Inc., et. al.</w:t>
      </w:r>
      <w:r>
        <w:t xml:space="preserve"> , Case No. 2010-CA-015748-) (Orange County Circuit Court), Order entered on May 24, 2013: Plaintiff condominium association, on behalf of unit owners, sued contractor and subcontractors for negligent construction. Defendants filed </w:t>
      </w:r>
      <w:r w:rsidR="007E2299">
        <w:t>affirmative defenses that the "economic loss r</w:t>
      </w:r>
      <w:r>
        <w:t xml:space="preserve">ule" barred the negligent claim, which plaintiff contends did not apply absence a contractual relationship (privity) between the parties. On competing Motions for Summary Judgment, trial court (Honorable A. Thomas Mihok) applied </w:t>
      </w:r>
      <w:r w:rsidRPr="006F4CE9">
        <w:rPr>
          <w:i/>
          <w:u w:val="single"/>
        </w:rPr>
        <w:t>Tiara Condominium Association</w:t>
      </w:r>
      <w:r>
        <w:rPr>
          <w:i/>
          <w:u w:val="single"/>
        </w:rPr>
        <w:t>, Inc.  v. Marsh &amp; McLennan Companies, Inc.,</w:t>
      </w:r>
      <w:r>
        <w:t>, 110 So. 3d 399 (Fla. 2013)</w:t>
      </w:r>
      <w:r w:rsidR="007E2299">
        <w:t xml:space="preserve"> to find for defendant</w:t>
      </w:r>
      <w:r w:rsidR="00C41134">
        <w:t>s</w:t>
      </w:r>
      <w:r w:rsidR="007E2299">
        <w:t xml:space="preserve"> since the "economic loss rule" precludes a tort claim where the only damages suffered are to the products (units) themselves.</w:t>
      </w:r>
    </w:p>
    <w:p w:rsidR="007E2299" w:rsidRPr="006F4CE9" w:rsidRDefault="007E2299" w:rsidP="00D9771C">
      <w:pPr>
        <w:pStyle w:val="BlockText"/>
      </w:pPr>
      <w:r w:rsidRPr="00C41134">
        <w:rPr>
          <w:u w:val="single"/>
        </w:rPr>
        <w:t>NOTE:</w:t>
      </w:r>
      <w:r>
        <w:t xml:space="preserve"> This decision is not final, pending any motion for reconsideration, and possible appeal.</w:t>
      </w:r>
    </w:p>
    <w:p w:rsidR="006F4CE9" w:rsidRDefault="006F4CE9" w:rsidP="00D9771C">
      <w:pPr>
        <w:pStyle w:val="BlockText"/>
        <w:rPr>
          <w:b/>
          <w:u w:val="single"/>
        </w:rPr>
      </w:pPr>
    </w:p>
    <w:p w:rsidR="00013164" w:rsidRDefault="009F4440" w:rsidP="00D9771C">
      <w:pPr>
        <w:pStyle w:val="BlockText"/>
        <w:rPr>
          <w:b/>
          <w:u w:val="single"/>
        </w:rPr>
      </w:pPr>
      <w:r>
        <w:rPr>
          <w:b/>
          <w:u w:val="single"/>
        </w:rPr>
        <w:t xml:space="preserve">State </w:t>
      </w:r>
      <w:r w:rsidR="00D9771C" w:rsidRPr="00D9771C">
        <w:rPr>
          <w:b/>
          <w:u w:val="single"/>
        </w:rPr>
        <w:t>Appellate Decisions:</w:t>
      </w:r>
    </w:p>
    <w:p w:rsidR="002A777F" w:rsidRDefault="002A777F" w:rsidP="00D9771C">
      <w:pPr>
        <w:pStyle w:val="BlockText"/>
        <w:rPr>
          <w:b/>
          <w:u w:val="single"/>
        </w:rPr>
      </w:pPr>
    </w:p>
    <w:p w:rsidR="007E2299" w:rsidRDefault="002A777F" w:rsidP="00D9771C">
      <w:pPr>
        <w:pStyle w:val="BlockText"/>
      </w:pPr>
      <w:r>
        <w:tab/>
      </w:r>
      <w:r w:rsidR="007E2299">
        <w:rPr>
          <w:i/>
          <w:u w:val="single"/>
        </w:rPr>
        <w:t>First Baptist Church of Cape Coral, Florida, Inc., v. Compass Construction, Inc.</w:t>
      </w:r>
      <w:r>
        <w:rPr>
          <w:i/>
        </w:rPr>
        <w:t xml:space="preserve">, </w:t>
      </w:r>
      <w:r w:rsidR="007E2299">
        <w:t>38 Fla. L. Weekly S357a, Case No. SC11-1280, issued May 30</w:t>
      </w:r>
      <w:r>
        <w:t xml:space="preserve">, 2013: </w:t>
      </w:r>
      <w:r w:rsidR="007E2299">
        <w:t>In a certified question involving a direct conflict between the lower court (2</w:t>
      </w:r>
      <w:r w:rsidR="007E2299" w:rsidRPr="007E2299">
        <w:rPr>
          <w:vertAlign w:val="superscript"/>
        </w:rPr>
        <w:t>nd</w:t>
      </w:r>
      <w:r w:rsidR="007E2299">
        <w:t xml:space="preserve"> DCA) and Wolfe v. Nazaire, 758 So. 2d 730 (Fla. 4</w:t>
      </w:r>
      <w:r w:rsidR="007E2299" w:rsidRPr="007E2299">
        <w:rPr>
          <w:vertAlign w:val="superscript"/>
        </w:rPr>
        <w:t>th</w:t>
      </w:r>
      <w:r w:rsidR="007E2299">
        <w:t xml:space="preserve"> DCA 2000), the Florida Supreme Court upheld the validity of an alternative fee recovery clause in a fee agreement that uses an hou</w:t>
      </w:r>
      <w:r w:rsidR="0090427C">
        <w:t>r</w:t>
      </w:r>
      <w:r w:rsidR="007E2299">
        <w:t>ly rate as the other basis for payment, and quashed</w:t>
      </w:r>
      <w:r w:rsidR="0090427C">
        <w:t xml:space="preserve"> and remanded for reinstatement of the judgment awarding attorney's fees.</w:t>
      </w:r>
    </w:p>
    <w:p w:rsidR="002A777F" w:rsidRDefault="002A777F" w:rsidP="00797252">
      <w:pPr>
        <w:pStyle w:val="BlockText"/>
      </w:pPr>
    </w:p>
    <w:p w:rsidR="007E2299" w:rsidRDefault="008F6B36" w:rsidP="00797252">
      <w:pPr>
        <w:pStyle w:val="BlockText"/>
      </w:pPr>
      <w:r>
        <w:tab/>
      </w:r>
      <w:r w:rsidR="00C41134">
        <w:rPr>
          <w:i/>
          <w:u w:val="single"/>
        </w:rPr>
        <w:t>Tawayna Braxton v. Evelyn Gradowski</w:t>
      </w:r>
      <w:r>
        <w:rPr>
          <w:i/>
        </w:rPr>
        <w:t xml:space="preserve">, </w:t>
      </w:r>
      <w:r w:rsidR="00C41134">
        <w:t>38 Fla. L. Weekly D1157b</w:t>
      </w:r>
      <w:r>
        <w:t xml:space="preserve">, Case No. </w:t>
      </w:r>
      <w:r w:rsidR="00C41134">
        <w:t>2D12-2707, issued May 24</w:t>
      </w:r>
      <w:r w:rsidR="00B33726">
        <w:t>, 2013</w:t>
      </w:r>
      <w:r w:rsidR="00C41134">
        <w:t xml:space="preserve">: While certifying conflict with </w:t>
      </w:r>
      <w:r w:rsidR="00C41134" w:rsidRPr="00C41134">
        <w:rPr>
          <w:i/>
          <w:u w:val="single"/>
        </w:rPr>
        <w:t>Sanchez v. State Farm Fla. Ins. Co</w:t>
      </w:r>
      <w:r w:rsidR="00C41134">
        <w:t>., 997 So. 2d 1209 (Fla. 3d DCA 2008), appellate court granted a motion for rehearing of its earlier order denying attorney fees pursuant to section 768.79 (offer of judgment), granted the motion and remanded to trial court for determination of entitlement and amount of appellate attorney fees.</w:t>
      </w:r>
    </w:p>
    <w:p w:rsidR="007E2299" w:rsidRDefault="007E2299" w:rsidP="00797252">
      <w:pPr>
        <w:pStyle w:val="BlockText"/>
      </w:pPr>
    </w:p>
    <w:p w:rsidR="00910237" w:rsidRDefault="00910237" w:rsidP="00797252">
      <w:pPr>
        <w:pStyle w:val="BlockText"/>
      </w:pPr>
      <w:r>
        <w:tab/>
      </w:r>
      <w:r w:rsidR="00C41134">
        <w:rPr>
          <w:i/>
          <w:u w:val="single"/>
        </w:rPr>
        <w:t xml:space="preserve">Raymond James Financial Services, Inc., v. Barbara J. Phillips, etc., </w:t>
      </w:r>
      <w:r w:rsidR="0074468A">
        <w:rPr>
          <w:i/>
          <w:u w:val="single"/>
        </w:rPr>
        <w:t>et.</w:t>
      </w:r>
      <w:r w:rsidR="00C41134">
        <w:rPr>
          <w:i/>
          <w:u w:val="single"/>
        </w:rPr>
        <w:t xml:space="preserve"> al.,</w:t>
      </w:r>
      <w:r w:rsidR="00C41134">
        <w:t xml:space="preserve"> 38 Fla. L. Weekly S325a, Case No. SC11-2513, issued May 16</w:t>
      </w:r>
      <w:r>
        <w:t>, 2013</w:t>
      </w:r>
      <w:r w:rsidR="00C41134">
        <w:t xml:space="preserve">: </w:t>
      </w:r>
      <w:r w:rsidR="00FE363C">
        <w:t>On a rephrased certified question from the Second District Court of Appeal, "Does Section 95.11, Florida Statutes, Apply to Arbitration," the Supreme Court answered in the affirmative and quashed the lower opinion. More than four (4) years after the cause of action for negligence arose, the investor filed for arbitration in accordance with its account agreement which contained a provision for final and binding arbitration</w:t>
      </w:r>
      <w:r w:rsidR="00C4400E">
        <w:t>. In finding that and arbitration proceeding is an "action" for purposes of the statute of limitations, this opinion points out the absurdity of holding otherwise whereby an arbitration agreement could shorten the statute of limitations.</w:t>
      </w:r>
    </w:p>
    <w:p w:rsidR="007E2299" w:rsidRDefault="007E2299" w:rsidP="00797252">
      <w:pPr>
        <w:pStyle w:val="BlockText"/>
      </w:pPr>
    </w:p>
    <w:p w:rsidR="00EA4F51" w:rsidRDefault="00910237" w:rsidP="00797252">
      <w:pPr>
        <w:pStyle w:val="BlockText"/>
      </w:pPr>
      <w:r>
        <w:tab/>
      </w:r>
      <w:r w:rsidR="00C4400E">
        <w:rPr>
          <w:i/>
          <w:u w:val="single"/>
        </w:rPr>
        <w:t>City of Palm Bay v. Wells Fargo Bank, N.A.,</w:t>
      </w:r>
      <w:r w:rsidR="005665C2">
        <w:t xml:space="preserve"> 38 Fla. L. Weekly</w:t>
      </w:r>
      <w:r w:rsidR="00C4400E">
        <w:t xml:space="preserve"> S322a</w:t>
      </w:r>
      <w:r w:rsidR="005665C2">
        <w:t>, Supreme Court of Florida C</w:t>
      </w:r>
      <w:r w:rsidR="00C4400E">
        <w:t xml:space="preserve">ase No. SC11-514, issued on May 16, 2013: While the majority opinion acknowledges that a Florida municipality is given broad authority to enact ordinances under its home rule powers </w:t>
      </w:r>
      <w:r w:rsidR="00C4400E">
        <w:lastRenderedPageBreak/>
        <w:t>as set forth in Article VIII, Section 2(b), Florida Constitution "except as provided by law,", and section 166.021, Florida Statutes, the court upheld the 5</w:t>
      </w:r>
      <w:r w:rsidR="00C4400E" w:rsidRPr="00C4400E">
        <w:rPr>
          <w:vertAlign w:val="superscript"/>
        </w:rPr>
        <w:t>th</w:t>
      </w:r>
      <w:r w:rsidR="00C4400E">
        <w:t xml:space="preserve"> DCA's opinion that the city "superpriority" </w:t>
      </w:r>
      <w:r w:rsidR="00F06E3E">
        <w:t xml:space="preserve">ordinance </w:t>
      </w:r>
      <w:r w:rsidR="00C4400E">
        <w:t>provision</w:t>
      </w:r>
      <w:r w:rsidR="00F06E3E">
        <w:t xml:space="preserve"> for code enforcement liens is invalid as being in conflicts with state statutes giving recorded mortgages priority.</w:t>
      </w:r>
    </w:p>
    <w:p w:rsidR="007E2299" w:rsidRDefault="007E2299" w:rsidP="00797252">
      <w:pPr>
        <w:pStyle w:val="BlockText"/>
      </w:pPr>
    </w:p>
    <w:p w:rsidR="001437FC" w:rsidRDefault="00EA4F51" w:rsidP="00797252">
      <w:pPr>
        <w:pStyle w:val="BlockText"/>
      </w:pPr>
      <w:r>
        <w:tab/>
      </w:r>
      <w:r w:rsidR="00F06E3E">
        <w:rPr>
          <w:i/>
          <w:u w:val="single"/>
        </w:rPr>
        <w:t>East Coast Metal Decks, Inc., v. Boran Craig Barber Engel Construction Co., Inc.</w:t>
      </w:r>
      <w:r>
        <w:rPr>
          <w:i/>
          <w:u w:val="single"/>
        </w:rPr>
        <w:t>,</w:t>
      </w:r>
      <w:r w:rsidR="00F06E3E">
        <w:t xml:space="preserve"> 38 Fla. L. Weekly D1061a, Case NO. 2D12-1013, issued May 15</w:t>
      </w:r>
      <w:r>
        <w:t xml:space="preserve">, 2013: </w:t>
      </w:r>
      <w:r w:rsidR="00F06E3E">
        <w:t>While finding that contractual venue provisions are not binding on the court if there are compelling reasons not to enforce them, the appellate court affirmed the trial court's denial of the subcontractor's motion to transfer a breach of contract action brought by the contractor in Collier County to Brevard County (where one of the projects was located), even where the terms of the surety bonds mandated venue in Brevard County (and denied conditionally awarding prevailing party attorney fees)..</w:t>
      </w:r>
    </w:p>
    <w:p w:rsidR="007E2299" w:rsidRDefault="007E2299" w:rsidP="00797252">
      <w:pPr>
        <w:pStyle w:val="BlockText"/>
      </w:pPr>
    </w:p>
    <w:p w:rsidR="001437FC" w:rsidRDefault="001437FC" w:rsidP="00797252">
      <w:pPr>
        <w:pStyle w:val="BlockText"/>
      </w:pPr>
      <w:r>
        <w:tab/>
      </w:r>
      <w:r w:rsidR="00540398">
        <w:rPr>
          <w:i/>
          <w:u w:val="single"/>
        </w:rPr>
        <w:t>John Kehoe v. Christine Garemore</w:t>
      </w:r>
      <w:r>
        <w:rPr>
          <w:i/>
          <w:u w:val="single"/>
        </w:rPr>
        <w:t xml:space="preserve">, </w:t>
      </w:r>
      <w:r w:rsidR="00540398">
        <w:t>38 Fla. L. Weekly D1043b, Case No. 5D12-1871 and Case No. 5D12-2445, issued on May 10</w:t>
      </w:r>
      <w:r>
        <w:t xml:space="preserve">, 2013: </w:t>
      </w:r>
      <w:r w:rsidR="00540398">
        <w:t>Lessee sought quantum meruit against property owner for compensation for improvements made, and owner counterclaimed for damages arising from defective construction. While overturning post judgment motions for attorney fees in favor of property owner, appellate court affirmed the jury award based on owner's failure to object to a purportedly erroneous jury instruction.</w:t>
      </w:r>
    </w:p>
    <w:p w:rsidR="007E2299" w:rsidRDefault="007E2299" w:rsidP="00797252">
      <w:pPr>
        <w:pStyle w:val="BlockText"/>
      </w:pPr>
    </w:p>
    <w:p w:rsidR="00BF09D3" w:rsidRDefault="00540398" w:rsidP="001437FC">
      <w:pPr>
        <w:pStyle w:val="BlockText"/>
        <w:ind w:firstLine="720"/>
      </w:pPr>
      <w:r>
        <w:rPr>
          <w:i/>
          <w:u w:val="single"/>
        </w:rPr>
        <w:t>Ira Marcus v. Florida Bagels, LLC, Arsenal Holdings, LLC and Egg Ventures, LLC</w:t>
      </w:r>
      <w:r w:rsidR="001437FC">
        <w:rPr>
          <w:i/>
          <w:u w:val="single"/>
        </w:rPr>
        <w:t>,</w:t>
      </w:r>
      <w:r w:rsidR="001437FC" w:rsidRPr="004C7846">
        <w:rPr>
          <w:i/>
          <w:u w:val="single"/>
        </w:rPr>
        <w:t xml:space="preserve"> </w:t>
      </w:r>
      <w:r>
        <w:t>38 Fla. L. Weekly D896b</w:t>
      </w:r>
      <w:r w:rsidR="006639C7">
        <w:t>, Case No. 4D12-2971, issued April 24</w:t>
      </w:r>
      <w:r w:rsidR="001437FC">
        <w:t xml:space="preserve">, 2013: </w:t>
      </w:r>
      <w:r w:rsidR="006639C7">
        <w:t xml:space="preserve"> Trial court's order denying a non-signatory's motion to compel arbitration was affirmed where the contracting parties had repudiated their contractual rights to arbitrate and elected instead to litigate. </w:t>
      </w:r>
      <w:r w:rsidR="0074468A">
        <w:t>While discussing the circumstances in which a non-signatory to a contract containing an arbitration clause was allowed to compel arbitration under the doctrine of equitable estoppel where the other parties were already involved in arbitration proceedings, here the non-signatory was not allowed to avail himself of the arbitration provision where the parties to the contract had not proceeded with arbitration.</w:t>
      </w:r>
    </w:p>
    <w:p w:rsidR="007C534A" w:rsidRDefault="007C534A" w:rsidP="001437FC">
      <w:pPr>
        <w:pStyle w:val="BlockText"/>
        <w:ind w:firstLine="720"/>
      </w:pPr>
    </w:p>
    <w:p w:rsidR="007F16BD" w:rsidRDefault="0074468A" w:rsidP="007F16BD">
      <w:pPr>
        <w:pStyle w:val="BlockText"/>
        <w:ind w:firstLine="720"/>
      </w:pPr>
      <w:r>
        <w:rPr>
          <w:i/>
          <w:u w:val="single"/>
        </w:rPr>
        <w:t>Benjamin Er</w:t>
      </w:r>
      <w:r w:rsidR="007F16BD" w:rsidRPr="007F16BD">
        <w:rPr>
          <w:i/>
          <w:u w:val="single"/>
        </w:rPr>
        <w:t>gas and Beth Ergas v. Universal Property and Casualty Insurance Company</w:t>
      </w:r>
      <w:r w:rsidR="007F16BD">
        <w:t>, 38 Fla. L. Weekly D900a, Case No. 4D11-3803, issued April 24, 2013:  Affirmed trial court's summary judgment in favor of homeowners insurance company finding that "marring" was excluded from coverage by the express terms of the policy. In this case, the "marring" was caused when the owner dropped a hammer on a floor and left a hammer-head impression in the title.</w:t>
      </w:r>
    </w:p>
    <w:p w:rsidR="007F16BD" w:rsidRDefault="007F16BD" w:rsidP="007F16BD">
      <w:pPr>
        <w:pStyle w:val="BlockText"/>
      </w:pPr>
      <w:r w:rsidRPr="007F16BD">
        <w:rPr>
          <w:u w:val="single"/>
        </w:rPr>
        <w:t>QUERY:</w:t>
      </w:r>
      <w:r>
        <w:t xml:space="preserve"> At the risk of sounding callous, is it any wonder that cases such as this one drive up insurance rates?</w:t>
      </w:r>
    </w:p>
    <w:p w:rsidR="007F16BD" w:rsidRDefault="007F16BD" w:rsidP="007F16BD">
      <w:pPr>
        <w:pStyle w:val="BlockText"/>
      </w:pPr>
    </w:p>
    <w:p w:rsidR="007F16BD" w:rsidRDefault="007F16BD" w:rsidP="007F16BD">
      <w:pPr>
        <w:pStyle w:val="BlockText"/>
      </w:pPr>
      <w:r>
        <w:tab/>
      </w:r>
      <w:r w:rsidR="00F777FA">
        <w:rPr>
          <w:i/>
          <w:u w:val="single"/>
        </w:rPr>
        <w:t>Pilot Construction Services, Inc. v. Babe's Plumbing, Inc.</w:t>
      </w:r>
      <w:r>
        <w:t xml:space="preserve">, </w:t>
      </w:r>
      <w:r w:rsidR="00F777FA">
        <w:t xml:space="preserve">38 Fla. L. Weekly D917a, Case No. 2D11-6009, filed April 24, 2013: New College sued contractor and plumbing subcontractor for damages from dormitory construction defects, but settled with subcontractor. Contractor cross-claimed against subcontractor for indemnification, and settled with New College. The trial court granted summary judgment in favor of the subcontractor, based on the subcontractor's settlement with New College and </w:t>
      </w:r>
      <w:r w:rsidR="000F112D">
        <w:t xml:space="preserve">subcontractor's claim that section 725.06 barred the contractor's claim of indemnification. The summary judgment was reversed and remanded based on questions of fact regarding contractor and subcontractor responsibility for the defects, and section 725.06 was found not to apply by its terms to the contractor's </w:t>
      </w:r>
      <w:r w:rsidR="0074468A">
        <w:t>indemnification</w:t>
      </w:r>
      <w:r w:rsidR="000F112D">
        <w:t>.</w:t>
      </w:r>
    </w:p>
    <w:p w:rsidR="000F112D" w:rsidRDefault="000F112D" w:rsidP="007F16BD">
      <w:pPr>
        <w:pStyle w:val="BlockText"/>
      </w:pPr>
    </w:p>
    <w:p w:rsidR="000F112D" w:rsidRPr="008E212F" w:rsidRDefault="000F112D" w:rsidP="007F16BD">
      <w:pPr>
        <w:pStyle w:val="BlockText"/>
      </w:pPr>
      <w:r>
        <w:lastRenderedPageBreak/>
        <w:tab/>
      </w:r>
      <w:r w:rsidRPr="000F112D">
        <w:rPr>
          <w:i/>
          <w:u w:val="single"/>
        </w:rPr>
        <w:t>Chrtistos N. Kritikow and Jupiter Holding Co, LLC v. John T. Andersen, et. al</w:t>
      </w:r>
      <w:r>
        <w:t xml:space="preserve">., 38 Fla. L. Weekly D931a, Case No. 4D11-2575, issued April 24, 2013: </w:t>
      </w:r>
      <w:r w:rsidR="00D318BB">
        <w:t xml:space="preserve">Contractor sued owner for damages caused by breach of contract, and to foreclose a construction lien. The jury awarded the damages for breach of contract, offset by delay damages incurred by the owner, but the court directed a verdict for contractor on owner's counterclaim for damages, based on owner's failure to prove the actual costs of completion and correction of work. </w:t>
      </w:r>
      <w:r w:rsidR="00121A5A">
        <w:t>As a result, the judgment was reversed and remanded for a new trial on damages and the amount of the construction lien.</w:t>
      </w:r>
    </w:p>
    <w:p w:rsidR="009024B4" w:rsidRPr="00530CD6" w:rsidRDefault="009024B4" w:rsidP="00D9771C">
      <w:pPr>
        <w:pStyle w:val="BlockText"/>
      </w:pP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2B09F1" w:rsidRDefault="002B09F1" w:rsidP="00D9771C">
      <w:pPr>
        <w:pStyle w:val="BlockText"/>
      </w:pPr>
    </w:p>
    <w:p w:rsidR="002B09F1" w:rsidRDefault="00DB01F6" w:rsidP="00DB01F6">
      <w:pPr>
        <w:pStyle w:val="BlockText"/>
        <w:ind w:firstLine="720"/>
      </w:pPr>
      <w:r>
        <w:t>(Nothing to report)</w:t>
      </w:r>
    </w:p>
    <w:p w:rsidR="002B09F1" w:rsidRDefault="002B09F1" w:rsidP="00D9771C">
      <w:pPr>
        <w:pStyle w:val="BlockText"/>
      </w:pPr>
    </w:p>
    <w:p w:rsidR="002B09F1" w:rsidRPr="002B09F1" w:rsidRDefault="002B09F1" w:rsidP="00D9771C">
      <w:pPr>
        <w:pStyle w:val="BlockText"/>
        <w:rPr>
          <w:b/>
          <w:u w:val="single"/>
        </w:rPr>
      </w:pPr>
      <w:r w:rsidRPr="002B09F1">
        <w:rPr>
          <w:b/>
          <w:u w:val="single"/>
        </w:rPr>
        <w:t>State Agency Actions:</w:t>
      </w:r>
    </w:p>
    <w:p w:rsidR="006A50BC" w:rsidRDefault="006A50BC" w:rsidP="00D9771C">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0340FB" w:rsidRPr="000340FB" w:rsidRDefault="004E142A" w:rsidP="000340FB">
      <w:pPr>
        <w:pStyle w:val="BlockText"/>
        <w:numPr>
          <w:ilvl w:val="0"/>
          <w:numId w:val="32"/>
        </w:numPr>
        <w:rPr>
          <w:b/>
        </w:rPr>
      </w:pPr>
      <w:r w:rsidRPr="00936542">
        <w:rPr>
          <w:u w:val="single"/>
        </w:rPr>
        <w:t>Construction Industry Licensing Board</w:t>
      </w:r>
      <w:r>
        <w:t xml:space="preserve"> – Chapter 489, Part I, FS and Chapter 61G4 FAC: </w:t>
      </w:r>
    </w:p>
    <w:p w:rsidR="000340FB" w:rsidRDefault="000340FB" w:rsidP="000340FB">
      <w:pPr>
        <w:pStyle w:val="BlockText"/>
        <w:ind w:left="1080"/>
        <w:rPr>
          <w:b/>
        </w:rPr>
      </w:pPr>
    </w:p>
    <w:p w:rsidR="00DB01F6" w:rsidRPr="00DB01F6" w:rsidRDefault="00E1125C" w:rsidP="00DB01F6">
      <w:pPr>
        <w:pStyle w:val="BlockText"/>
        <w:numPr>
          <w:ilvl w:val="1"/>
          <w:numId w:val="32"/>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DB01F6" w:rsidRPr="00DB01F6" w:rsidRDefault="00DB01F6" w:rsidP="00DB01F6">
      <w:pPr>
        <w:pStyle w:val="BlockText"/>
        <w:ind w:left="1800"/>
        <w:rPr>
          <w:b/>
        </w:rPr>
      </w:pPr>
    </w:p>
    <w:p w:rsidR="00DB01F6" w:rsidRPr="00DB01F6" w:rsidRDefault="00DB01F6" w:rsidP="00DB01F6">
      <w:pPr>
        <w:pStyle w:val="BlockText"/>
        <w:numPr>
          <w:ilvl w:val="2"/>
          <w:numId w:val="32"/>
        </w:numPr>
        <w:rPr>
          <w:b/>
        </w:rPr>
      </w:pPr>
      <w:r>
        <w:t>Rule 61G4-12.011, effective April 4</w:t>
      </w:r>
      <w:r w:rsidR="002558FB">
        <w:t xml:space="preserve">, 2013, will allow </w:t>
      </w:r>
      <w:r>
        <w:t>add to the definition of "services incidental thereto" for purposes of determining FDOT contracts that may also require a Division I license for performance.</w:t>
      </w:r>
    </w:p>
    <w:p w:rsidR="00DB01F6" w:rsidRDefault="00DB01F6" w:rsidP="00DB01F6">
      <w:pPr>
        <w:pStyle w:val="BlockText"/>
        <w:ind w:left="2520"/>
        <w:rPr>
          <w:b/>
        </w:rPr>
      </w:pPr>
    </w:p>
    <w:p w:rsidR="00DB01F6" w:rsidRPr="00DB01F6" w:rsidRDefault="00DB01F6" w:rsidP="00DB01F6">
      <w:pPr>
        <w:pStyle w:val="BlockText"/>
        <w:numPr>
          <w:ilvl w:val="2"/>
          <w:numId w:val="32"/>
        </w:numPr>
        <w:rPr>
          <w:b/>
        </w:rPr>
      </w:pPr>
      <w:r>
        <w:t>Rule 614G-15.035, effective March 31, 2013, provides for the certification of specialty irrigation contactors.</w:t>
      </w:r>
    </w:p>
    <w:p w:rsidR="00DB01F6" w:rsidRDefault="00DB01F6" w:rsidP="00DB01F6">
      <w:pPr>
        <w:pStyle w:val="BlockText"/>
        <w:ind w:left="2520"/>
        <w:rPr>
          <w:b/>
        </w:rPr>
      </w:pPr>
    </w:p>
    <w:p w:rsidR="00DB01F6" w:rsidRPr="00DB01F6" w:rsidRDefault="00DB01F6" w:rsidP="00DB01F6">
      <w:pPr>
        <w:pStyle w:val="BlockText"/>
        <w:numPr>
          <w:ilvl w:val="2"/>
          <w:numId w:val="32"/>
        </w:numPr>
        <w:rPr>
          <w:b/>
        </w:rPr>
      </w:pPr>
      <w:r>
        <w:t>Rule 61G4-15.038, effective February 11, 2013, provides for the certification of specialty demolition contractors.</w:t>
      </w:r>
    </w:p>
    <w:p w:rsidR="00DB01F6" w:rsidRPr="00DB01F6" w:rsidRDefault="00DB01F6" w:rsidP="00DB01F6">
      <w:pPr>
        <w:pStyle w:val="BlockText"/>
        <w:ind w:left="2520"/>
        <w:rPr>
          <w:b/>
        </w:rPr>
      </w:pPr>
    </w:p>
    <w:p w:rsidR="002558FB" w:rsidRDefault="004E142A" w:rsidP="002558FB">
      <w:pPr>
        <w:pStyle w:val="BlockText"/>
        <w:numPr>
          <w:ilvl w:val="1"/>
          <w:numId w:val="32"/>
        </w:numPr>
      </w:pPr>
      <w:r>
        <w:t>This board has received or disposed of the following Petitions for</w:t>
      </w:r>
      <w:r w:rsidR="00DB01F6">
        <w:t xml:space="preserve"> Declaratory Statement (if any):</w:t>
      </w:r>
    </w:p>
    <w:p w:rsidR="00321E89" w:rsidRDefault="00321E89" w:rsidP="00321E89">
      <w:pPr>
        <w:pStyle w:val="BlockText"/>
        <w:ind w:left="1440"/>
      </w:pPr>
    </w:p>
    <w:p w:rsidR="00DB01F6" w:rsidRDefault="00DB01F6" w:rsidP="00DB01F6">
      <w:pPr>
        <w:pStyle w:val="BlockText"/>
        <w:numPr>
          <w:ilvl w:val="2"/>
          <w:numId w:val="32"/>
        </w:numPr>
      </w:pPr>
      <w:r>
        <w:t>Horacio Gonzalez</w:t>
      </w:r>
      <w:r w:rsidR="00321E89">
        <w:t xml:space="preserve"> asking whether his general contractor's license is sufficient to allow him to prepare site-specific drawings, specifications, or plans for the construction of single-family and two-family dwellings, swimming pools, spas or screened enclosures or any other structure not exceeding 1200 square feet or one story in height.</w:t>
      </w:r>
    </w:p>
    <w:p w:rsidR="00321E89" w:rsidRDefault="00321E89" w:rsidP="00321E89">
      <w:pPr>
        <w:pStyle w:val="BlockText"/>
        <w:ind w:left="2520"/>
      </w:pPr>
    </w:p>
    <w:p w:rsidR="00321E89" w:rsidRDefault="00321E89" w:rsidP="00DB01F6">
      <w:pPr>
        <w:pStyle w:val="BlockText"/>
        <w:numPr>
          <w:ilvl w:val="2"/>
          <w:numId w:val="32"/>
        </w:numPr>
      </w:pPr>
      <w:r>
        <w:t>Jeremy Earl asking whether his marine contractor's license was sufficient to apply for the permit and to serve as primary contactor with Florida Department of Environmental Protection involving pile driving, framing and concrete construction. By order entered on May 10, 2013, the board answered the petition in the affirmative.</w:t>
      </w:r>
    </w:p>
    <w:p w:rsidR="00321E89" w:rsidRDefault="0074468A" w:rsidP="00DB01F6">
      <w:pPr>
        <w:pStyle w:val="BlockText"/>
        <w:numPr>
          <w:ilvl w:val="2"/>
          <w:numId w:val="32"/>
        </w:numPr>
      </w:pPr>
      <w:r>
        <w:t>Patrick</w:t>
      </w:r>
      <w:r w:rsidR="00321E89">
        <w:t xml:space="preserve"> W. Reed asking the board's interpretation of s. 489.105(3)(a) as to whether his general contractor's license is sufficient to perform installation of wireless zwave technology routers, zwave thermostats, door locks and wireless zwave cameras to monitor and regulate status of homes (except as to low-voltage work).</w:t>
      </w:r>
    </w:p>
    <w:p w:rsidR="00321E89" w:rsidRDefault="00321E89" w:rsidP="00321E89">
      <w:pPr>
        <w:pStyle w:val="BlockText"/>
        <w:ind w:left="2520"/>
      </w:pPr>
    </w:p>
    <w:p w:rsidR="00321E89" w:rsidRDefault="00321E89" w:rsidP="00DB01F6">
      <w:pPr>
        <w:pStyle w:val="BlockText"/>
        <w:numPr>
          <w:ilvl w:val="2"/>
          <w:numId w:val="32"/>
        </w:numPr>
      </w:pPr>
      <w:r>
        <w:t>Sun Star Energy, LLC, asking for an interpretation of s. 489.105(3)(m) as to whether a plumbing contractor can install solar water heating systems.</w:t>
      </w:r>
    </w:p>
    <w:p w:rsidR="002558FB" w:rsidRDefault="002558FB" w:rsidP="00321E89">
      <w:pPr>
        <w:pStyle w:val="BlockText"/>
      </w:pPr>
    </w:p>
    <w:p w:rsidR="00321E89" w:rsidRDefault="004E142A" w:rsidP="002558FB">
      <w:pPr>
        <w:pStyle w:val="BlockText"/>
        <w:numPr>
          <w:ilvl w:val="1"/>
          <w:numId w:val="32"/>
        </w:numPr>
      </w:pPr>
      <w:r>
        <w:t>This board has received or dis</w:t>
      </w:r>
      <w:r w:rsidR="002558FB">
        <w:t>posed of the following Petition</w:t>
      </w:r>
      <w:r>
        <w:t xml:space="preserve"> for Va</w:t>
      </w:r>
      <w:r w:rsidR="008C23E6">
        <w:t>riance or Waiver (if any):</w:t>
      </w:r>
      <w:r w:rsidR="000340FB">
        <w:t xml:space="preserve"> </w:t>
      </w:r>
    </w:p>
    <w:p w:rsidR="00321E89" w:rsidRDefault="00321E89" w:rsidP="00321E89">
      <w:pPr>
        <w:pStyle w:val="BlockText"/>
        <w:ind w:left="1800"/>
      </w:pPr>
    </w:p>
    <w:p w:rsidR="008C23E6" w:rsidRDefault="00321E89" w:rsidP="008C23E6">
      <w:pPr>
        <w:pStyle w:val="BlockText"/>
        <w:numPr>
          <w:ilvl w:val="2"/>
          <w:numId w:val="32"/>
        </w:numPr>
      </w:pPr>
      <w:r>
        <w:t>Christopher Felder</w:t>
      </w:r>
      <w:r w:rsidR="008C23E6">
        <w:t xml:space="preserve"> seeking a permanent variance</w:t>
      </w:r>
      <w:r w:rsidR="002321A5">
        <w:t xml:space="preserve"> or </w:t>
      </w:r>
      <w:r w:rsidR="009242EA">
        <w:t>waiver from Rule 61G4-16.005 limiting the validity of a passing grade to a period of 4 years</w:t>
      </w:r>
      <w:r w:rsidR="002558FB">
        <w:t>,</w:t>
      </w:r>
    </w:p>
    <w:p w:rsidR="000C4772" w:rsidRDefault="000C4772" w:rsidP="000C4772">
      <w:pPr>
        <w:pStyle w:val="BlockText"/>
        <w:ind w:left="2520"/>
      </w:pPr>
    </w:p>
    <w:p w:rsidR="000C4772" w:rsidRDefault="000C4772" w:rsidP="000C4772">
      <w:pPr>
        <w:pStyle w:val="BlockText"/>
        <w:numPr>
          <w:ilvl w:val="2"/>
          <w:numId w:val="32"/>
        </w:numPr>
      </w:pPr>
      <w:r>
        <w:t>Daniel Chen-Fung seeking a permanent variance or waiver from Rule 61G4-16.005 limiting the validity of a passing grade to a period of 4 years, By order filed on May 10, 2013, this petition was denied.</w:t>
      </w:r>
    </w:p>
    <w:p w:rsidR="000C4772" w:rsidRDefault="000C4772" w:rsidP="000C4772">
      <w:pPr>
        <w:pStyle w:val="BlockText"/>
        <w:ind w:left="2520"/>
      </w:pPr>
    </w:p>
    <w:p w:rsidR="000C4772" w:rsidRDefault="000C4772" w:rsidP="000C4772">
      <w:pPr>
        <w:pStyle w:val="BlockText"/>
        <w:numPr>
          <w:ilvl w:val="2"/>
          <w:numId w:val="32"/>
        </w:numPr>
      </w:pPr>
      <w:r>
        <w:t>Mark C. Fetherman seeking a permanent variance or waiver from Rule 61G4-12.009(11)(a), requiring payment of a $100 delinquency fee for late renewal of license, By order filed on May 10, 2013, this petition was denied.</w:t>
      </w:r>
    </w:p>
    <w:p w:rsidR="000C4772" w:rsidRDefault="000C4772" w:rsidP="000C4772">
      <w:pPr>
        <w:pStyle w:val="BlockText"/>
        <w:ind w:left="2520"/>
      </w:pPr>
    </w:p>
    <w:p w:rsidR="00F07308" w:rsidRDefault="004E142A" w:rsidP="00F07308">
      <w:pPr>
        <w:pStyle w:val="BlockText"/>
        <w:numPr>
          <w:ilvl w:val="0"/>
          <w:numId w:val="32"/>
        </w:numPr>
      </w:pPr>
      <w:r w:rsidRPr="00F07308">
        <w:rPr>
          <w:u w:val="single"/>
        </w:rPr>
        <w:t>Electrical Contracting Licensing Board</w:t>
      </w:r>
      <w:r>
        <w:t xml:space="preserve"> (includes both electricians and alarm contractors) – Chapter </w:t>
      </w:r>
      <w:r w:rsidR="00EF30B1">
        <w:t>489, Part II, FS and 61G6, FAC:</w:t>
      </w:r>
    </w:p>
    <w:p w:rsidR="009E2A70" w:rsidRDefault="009E2A70" w:rsidP="009E2A70">
      <w:pPr>
        <w:pStyle w:val="BlockText"/>
        <w:ind w:left="1080"/>
      </w:pPr>
    </w:p>
    <w:p w:rsidR="004E142A" w:rsidRDefault="00E1125C" w:rsidP="00F07308">
      <w:pPr>
        <w:pStyle w:val="BlockText"/>
        <w:numPr>
          <w:ilvl w:val="1"/>
          <w:numId w:val="32"/>
        </w:numPr>
      </w:pPr>
      <w:r>
        <w:t>This board has proposed, adopted, repealed or amended the following rules (if any):</w:t>
      </w:r>
      <w:r w:rsidR="006221E1">
        <w:t xml:space="preserve"> </w:t>
      </w:r>
      <w:r w:rsidR="002558FB">
        <w:t>None noticed.</w:t>
      </w:r>
    </w:p>
    <w:p w:rsidR="000340FB" w:rsidRDefault="000340FB" w:rsidP="000340FB">
      <w:pPr>
        <w:pStyle w:val="BlockText"/>
        <w:ind w:left="1800"/>
      </w:pPr>
    </w:p>
    <w:p w:rsidR="004E142A" w:rsidRDefault="004E142A" w:rsidP="009E2A70">
      <w:pPr>
        <w:pStyle w:val="BlockText"/>
        <w:numPr>
          <w:ilvl w:val="1"/>
          <w:numId w:val="32"/>
        </w:numPr>
      </w:pPr>
      <w:r>
        <w:t xml:space="preserve">This board has received or disposed of the following Petitions for Declaratory Statement (if any): </w:t>
      </w:r>
      <w:r w:rsidR="00EF30B1">
        <w:t xml:space="preserve">Donald M. Smith as to whether an electrical license is required to perform the installation of coax used in radio distribution system for the purpose of transmitting voice communications. </w:t>
      </w:r>
    </w:p>
    <w:p w:rsidR="00A82F6F" w:rsidRDefault="00A82F6F" w:rsidP="00A82F6F">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A82F6F">
        <w:t xml:space="preserve">riance or Waiver (if any): </w:t>
      </w:r>
      <w:r w:rsidR="006221E1">
        <w:t>None</w:t>
      </w:r>
      <w:r w:rsidR="002558FB">
        <w:t xml:space="preserve"> noticed</w:t>
      </w:r>
      <w:r w:rsidR="006221E1">
        <w:t>.</w:t>
      </w:r>
    </w:p>
    <w:p w:rsidR="004E142A" w:rsidRDefault="004E142A" w:rsidP="004E142A">
      <w:pPr>
        <w:pStyle w:val="BlockText"/>
        <w:ind w:left="1800"/>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EF30B1" w:rsidRDefault="00E1125C" w:rsidP="004E142A">
      <w:pPr>
        <w:pStyle w:val="BlockText"/>
        <w:numPr>
          <w:ilvl w:val="1"/>
          <w:numId w:val="32"/>
        </w:numPr>
      </w:pPr>
      <w:r>
        <w:t>This board has proposed, adopted, repealed or amended the following rules (if any</w:t>
      </w:r>
      <w:r w:rsidR="00920535">
        <w:t xml:space="preserve">): </w:t>
      </w:r>
    </w:p>
    <w:p w:rsidR="004E2A5D" w:rsidRDefault="004E2A5D" w:rsidP="004E2A5D">
      <w:pPr>
        <w:pStyle w:val="BlockText"/>
        <w:ind w:left="1800"/>
      </w:pPr>
    </w:p>
    <w:p w:rsidR="004E2A5D" w:rsidRDefault="004E2A5D" w:rsidP="004E2A5D">
      <w:pPr>
        <w:pStyle w:val="BlockText"/>
        <w:numPr>
          <w:ilvl w:val="2"/>
          <w:numId w:val="32"/>
        </w:numPr>
      </w:pPr>
      <w:r>
        <w:t>Rule 61G1-11.012 to update language regarding educational advisory staff.</w:t>
      </w:r>
    </w:p>
    <w:p w:rsidR="004E2A5D" w:rsidRDefault="004E2A5D" w:rsidP="004E2A5D">
      <w:pPr>
        <w:pStyle w:val="BlockText"/>
        <w:ind w:left="2520"/>
      </w:pPr>
    </w:p>
    <w:p w:rsidR="000340FB" w:rsidRDefault="00EF30B1" w:rsidP="00EF30B1">
      <w:pPr>
        <w:pStyle w:val="BlockText"/>
        <w:numPr>
          <w:ilvl w:val="2"/>
          <w:numId w:val="32"/>
        </w:numPr>
      </w:pPr>
      <w:r>
        <w:t>Rule 61G1-22.003 to update the education requirements for interior designers.</w:t>
      </w:r>
    </w:p>
    <w:p w:rsidR="004E142A" w:rsidRDefault="004E142A" w:rsidP="000340FB">
      <w:pPr>
        <w:pStyle w:val="BlockText"/>
        <w:ind w:left="1800"/>
      </w:pPr>
      <w:r>
        <w:t xml:space="preserve"> </w:t>
      </w: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4E142A">
      <w:pPr>
        <w:pStyle w:val="BlockText"/>
        <w:numPr>
          <w:ilvl w:val="1"/>
          <w:numId w:val="32"/>
        </w:numPr>
      </w:pPr>
      <w:r>
        <w:t xml:space="preserve">This board has received or disposed of the following Petitions for Variance or Waiver (if any): </w:t>
      </w:r>
      <w:r w:rsidR="004E2A5D">
        <w:t>None noticed.</w:t>
      </w:r>
    </w:p>
    <w:p w:rsidR="004E2A5D" w:rsidRDefault="004E2A5D" w:rsidP="004E2A5D">
      <w:pPr>
        <w:pStyle w:val="BlockText"/>
        <w:ind w:left="1800"/>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4E142A">
      <w:pPr>
        <w:ind w:left="216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4204AE" w:rsidRDefault="00E1125C" w:rsidP="000340FB">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4E2A5D">
        <w:t>:</w:t>
      </w:r>
    </w:p>
    <w:p w:rsidR="004E2A5D" w:rsidRDefault="004E2A5D" w:rsidP="004E2A5D">
      <w:pPr>
        <w:pStyle w:val="BlockText"/>
        <w:ind w:left="1800"/>
      </w:pPr>
    </w:p>
    <w:p w:rsidR="004E2A5D" w:rsidRDefault="004E2A5D" w:rsidP="004E2A5D">
      <w:pPr>
        <w:pStyle w:val="BlockText"/>
        <w:numPr>
          <w:ilvl w:val="2"/>
          <w:numId w:val="32"/>
        </w:numPr>
      </w:pPr>
      <w:r>
        <w:t>Rule 61G15-19.0051 to modify language for notice of noncompliance.</w:t>
      </w:r>
    </w:p>
    <w:p w:rsidR="004E2A5D" w:rsidRDefault="004E2A5D" w:rsidP="004E2A5D">
      <w:pPr>
        <w:pStyle w:val="BlockText"/>
        <w:ind w:left="2520"/>
      </w:pPr>
    </w:p>
    <w:p w:rsidR="004E2A5D" w:rsidRDefault="004E2A5D" w:rsidP="004E2A5D">
      <w:pPr>
        <w:pStyle w:val="BlockText"/>
        <w:numPr>
          <w:ilvl w:val="2"/>
          <w:numId w:val="32"/>
        </w:numPr>
      </w:pPr>
      <w:r>
        <w:t>Rule 61G15-19.0071 to add new language to set the citations for unlicensed practice of engineering.</w:t>
      </w:r>
    </w:p>
    <w:p w:rsidR="004E2A5D" w:rsidRDefault="004E2A5D" w:rsidP="004E2A5D">
      <w:pPr>
        <w:pStyle w:val="BlockText"/>
        <w:ind w:left="2520"/>
      </w:pPr>
    </w:p>
    <w:p w:rsidR="004E2A5D" w:rsidRDefault="004E2A5D" w:rsidP="004E2A5D">
      <w:pPr>
        <w:pStyle w:val="BlockText"/>
        <w:numPr>
          <w:ilvl w:val="2"/>
          <w:numId w:val="32"/>
        </w:numPr>
      </w:pPr>
      <w:r>
        <w:t>Rule 61G15-21.001 to delete unnecessary language and to add new language to clarify general requirements for written examinations.</w:t>
      </w:r>
    </w:p>
    <w:p w:rsidR="004E2A5D" w:rsidRDefault="004E2A5D" w:rsidP="004E2A5D">
      <w:pPr>
        <w:pStyle w:val="BlockText"/>
        <w:ind w:left="2520"/>
      </w:pPr>
    </w:p>
    <w:p w:rsidR="004E2A5D" w:rsidRDefault="004E2A5D" w:rsidP="004E2A5D">
      <w:pPr>
        <w:pStyle w:val="BlockText"/>
        <w:numPr>
          <w:ilvl w:val="2"/>
          <w:numId w:val="32"/>
        </w:numPr>
      </w:pPr>
      <w:r>
        <w:t>Rule 61G15-30.009 to add new language to clarify the requirements for retention of engineering documents.</w:t>
      </w:r>
    </w:p>
    <w:p w:rsidR="000340FB" w:rsidRDefault="000340FB" w:rsidP="000340FB">
      <w:pPr>
        <w:pStyle w:val="BlockText"/>
        <w:ind w:left="1440"/>
      </w:pPr>
    </w:p>
    <w:p w:rsidR="004204AE" w:rsidRDefault="009E2A70" w:rsidP="004204AE">
      <w:pPr>
        <w:pStyle w:val="BlockText"/>
        <w:numPr>
          <w:ilvl w:val="1"/>
          <w:numId w:val="32"/>
        </w:numPr>
      </w:pPr>
      <w:r>
        <w:t xml:space="preserve">This board has received or disposed of the following Petitions for </w:t>
      </w:r>
      <w:r w:rsidR="00052694">
        <w:t>Declaratory Statement</w:t>
      </w:r>
      <w:r>
        <w:t xml:space="preserve"> (if any): None</w:t>
      </w:r>
      <w:r w:rsidR="00920535">
        <w:t xml:space="preserve"> noticed</w:t>
      </w:r>
      <w:r>
        <w:t>.</w:t>
      </w:r>
    </w:p>
    <w:p w:rsidR="004204AE" w:rsidRDefault="004204AE" w:rsidP="004204AE">
      <w:pPr>
        <w:pStyle w:val="BlockText"/>
        <w:ind w:left="1800"/>
      </w:pPr>
    </w:p>
    <w:p w:rsidR="004E2A5D" w:rsidRDefault="009E2A70" w:rsidP="009E2A70">
      <w:pPr>
        <w:pStyle w:val="BlockText"/>
        <w:numPr>
          <w:ilvl w:val="1"/>
          <w:numId w:val="32"/>
        </w:numPr>
        <w:ind w:left="1440"/>
      </w:pPr>
      <w:r>
        <w:t>This board has received or disposed of the following Petitions for Va</w:t>
      </w:r>
      <w:r w:rsidR="00920535">
        <w:t>riance or Waiver (if any):</w:t>
      </w:r>
      <w:r w:rsidR="004E2A5D">
        <w:t xml:space="preserve"> None noticed.</w:t>
      </w:r>
    </w:p>
    <w:p w:rsidR="004E142A" w:rsidRDefault="004E142A" w:rsidP="004E2A5D">
      <w:pPr>
        <w:pStyle w:val="BlockText"/>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E1125C">
      <w:pPr>
        <w:pStyle w:val="BlockText"/>
        <w:numPr>
          <w:ilvl w:val="1"/>
          <w:numId w:val="32"/>
        </w:numPr>
      </w:pPr>
      <w:r>
        <w:t>This board has proposed, adopted, repealed or amended the following rules (if any):</w:t>
      </w:r>
      <w:r w:rsidR="004204AE">
        <w:t xml:space="preserve"> None</w:t>
      </w:r>
      <w:r w:rsidR="00920535">
        <w:t xml:space="preserve"> noticed</w:t>
      </w:r>
      <w:r w:rsidR="004204AE">
        <w:t>.</w:t>
      </w:r>
    </w:p>
    <w:p w:rsidR="004E142A" w:rsidRDefault="004E142A" w:rsidP="004E142A">
      <w:pPr>
        <w:pStyle w:val="BlockText"/>
      </w:pPr>
    </w:p>
    <w:p w:rsidR="004E2A5D" w:rsidRDefault="004E142A" w:rsidP="004E142A">
      <w:pPr>
        <w:pStyle w:val="BlockText"/>
        <w:numPr>
          <w:ilvl w:val="1"/>
          <w:numId w:val="32"/>
        </w:numPr>
      </w:pPr>
      <w:r>
        <w:t>This board has received or disposed of the following Petitions for Declaratory Statement (if any</w:t>
      </w:r>
      <w:r w:rsidR="004E2A5D">
        <w:t>): None noticed.</w:t>
      </w:r>
    </w:p>
    <w:p w:rsidR="004E2A5D" w:rsidRDefault="004E2A5D" w:rsidP="004E2A5D">
      <w:pPr>
        <w:pStyle w:val="BlockText"/>
        <w:ind w:left="1800"/>
      </w:pPr>
    </w:p>
    <w:p w:rsidR="004E142A" w:rsidRDefault="004E142A" w:rsidP="004E142A">
      <w:pPr>
        <w:pStyle w:val="BlockText"/>
        <w:numPr>
          <w:ilvl w:val="1"/>
          <w:numId w:val="32"/>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920535" w:rsidRDefault="00920535" w:rsidP="00920535">
      <w:pPr>
        <w:pStyle w:val="BlockText"/>
        <w:ind w:left="1080"/>
      </w:pPr>
    </w:p>
    <w:p w:rsidR="00920535" w:rsidRDefault="00E1125C" w:rsidP="00920535">
      <w:pPr>
        <w:pStyle w:val="BlockText"/>
        <w:numPr>
          <w:ilvl w:val="1"/>
          <w:numId w:val="32"/>
        </w:numPr>
      </w:pPr>
      <w:r>
        <w:t>This board has proposed, adopted, repealed or amended the following rules (if any):</w:t>
      </w:r>
      <w:r w:rsidR="00920535">
        <w:t xml:space="preserve"> </w:t>
      </w:r>
      <w:r w:rsidR="004E2A5D">
        <w:t>None noticed.</w:t>
      </w:r>
    </w:p>
    <w:p w:rsidR="004E2A5D" w:rsidRDefault="004E2A5D" w:rsidP="004E2A5D">
      <w:pPr>
        <w:pStyle w:val="BlockText"/>
        <w:ind w:left="1800"/>
      </w:pPr>
    </w:p>
    <w:p w:rsidR="00E1125C" w:rsidRDefault="00E1125C" w:rsidP="004E2A5D">
      <w:pPr>
        <w:pStyle w:val="BlockText"/>
        <w:numPr>
          <w:ilvl w:val="1"/>
          <w:numId w:val="32"/>
        </w:numPr>
      </w:pPr>
      <w:r>
        <w:t xml:space="preserve">This board has received or disposed of the following Petitions for </w:t>
      </w:r>
      <w:r w:rsidR="004E2A5D">
        <w:t>Declaratory Statement: Gary L. Dennis for Innovative Insulation, Inc., as to whether radiant barrier and reflective insulation products fall under the scope of the product approval rules.</w:t>
      </w:r>
    </w:p>
    <w:p w:rsidR="00A82F6F" w:rsidRDefault="00A82F6F" w:rsidP="00491907">
      <w:pPr>
        <w:pStyle w:val="BlockText"/>
      </w:pPr>
    </w:p>
    <w:p w:rsidR="000340FB" w:rsidRDefault="00941C32" w:rsidP="00941C32">
      <w:pPr>
        <w:pStyle w:val="BlockText"/>
        <w:ind w:left="720"/>
      </w:pPr>
      <w:r>
        <w:t xml:space="preserve">8. </w:t>
      </w:r>
      <w:r w:rsidRPr="00941C32">
        <w:rPr>
          <w:u w:val="single"/>
        </w:rPr>
        <w:t>DBPR/Home Inspectors:</w:t>
      </w:r>
      <w:r>
        <w:t xml:space="preserve"> </w:t>
      </w:r>
      <w:r w:rsidR="004E2A5D">
        <w:t>Nothing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27E2F" w:rsidRPr="0094577A" w:rsidRDefault="00427E2F" w:rsidP="004E2A5D">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July 1, 2013, will (unless vetoed) repeal Rule 62-531-340(1)(d),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DE52F2">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following changes: </w:t>
      </w:r>
    </w:p>
    <w:p w:rsidR="004E142A" w:rsidRDefault="004E142A" w:rsidP="004E142A">
      <w:pPr>
        <w:pStyle w:val="ListParagraph"/>
      </w:pPr>
    </w:p>
    <w:p w:rsidR="004E142A" w:rsidRDefault="004E142A" w:rsidP="004E142A">
      <w:pPr>
        <w:pStyle w:val="BlockText"/>
        <w:ind w:left="720"/>
      </w:pPr>
      <w:r>
        <w:t>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436BA2" w:rsidP="004E142A">
      <w:pPr>
        <w:pStyle w:val="BlockText"/>
        <w:ind w:left="720"/>
        <w:rPr>
          <w:b/>
        </w:rPr>
      </w:pPr>
      <w:r>
        <w:t xml:space="preserve">Note: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t>s</w:t>
      </w:r>
      <w:r w:rsidR="004E142A">
        <w:t xml:space="preserve"> have opted to implement such a program at this time.</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DE52F2">
      <w:pPr>
        <w:pStyle w:val="BlockText"/>
        <w:ind w:firstLine="360"/>
      </w:pPr>
      <w:r>
        <w:t xml:space="preserve">1. </w:t>
      </w:r>
      <w:r w:rsidR="00436BA2">
        <w:t>Boiler Safety Act - Chapter 554, F. S., and Chapter 69A-51, F.A.C.</w:t>
      </w:r>
    </w:p>
    <w:p w:rsidR="008F58B8" w:rsidRDefault="008F58B8" w:rsidP="008F58B8">
      <w:pPr>
        <w:pStyle w:val="BlockText"/>
        <w:ind w:left="720"/>
      </w:pPr>
    </w:p>
    <w:p w:rsidR="004E142A" w:rsidRDefault="0001260C" w:rsidP="00DE52F2">
      <w:pPr>
        <w:pStyle w:val="BlockText"/>
        <w:ind w:firstLine="360"/>
      </w:pPr>
      <w:r>
        <w:t>2.</w:t>
      </w:r>
      <w:r w:rsidR="00DE52F2">
        <w:t xml:space="preserve"> </w:t>
      </w:r>
      <w:r w:rsidR="004E142A">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Pr="003C265E" w:rsidRDefault="008157CF" w:rsidP="008F58B8">
      <w:pPr>
        <w:pStyle w:val="BlockText"/>
        <w:ind w:left="1080"/>
        <w:rPr>
          <w:b/>
          <w:i/>
          <w:u w:val="single"/>
        </w:rPr>
      </w:pPr>
      <w:r>
        <w:rPr>
          <w:b/>
          <w:i/>
          <w:u w:val="single"/>
        </w:rPr>
        <w:t>LEGISLATIVE</w:t>
      </w:r>
      <w:r w:rsidR="004E142A" w:rsidRPr="003C265E">
        <w:rPr>
          <w:b/>
          <w:i/>
          <w:u w:val="single"/>
        </w:rPr>
        <w:t xml:space="preserve"> UNDATE: Out-of-state applicants who do NOT have </w:t>
      </w:r>
      <w:r>
        <w:rPr>
          <w:b/>
          <w:i/>
          <w:u w:val="single"/>
        </w:rPr>
        <w:t>"</w:t>
      </w:r>
      <w:r w:rsidR="004E142A" w:rsidRPr="003C265E">
        <w:rPr>
          <w:b/>
          <w:i/>
          <w:u w:val="single"/>
        </w:rPr>
        <w:t>Florida</w:t>
      </w:r>
      <w:r>
        <w:rPr>
          <w:b/>
          <w:i/>
          <w:u w:val="single"/>
        </w:rPr>
        <w:t>"</w:t>
      </w:r>
      <w:r w:rsidR="004E142A" w:rsidRPr="003C265E">
        <w:rPr>
          <w:b/>
          <w:i/>
          <w:u w:val="single"/>
        </w:rPr>
        <w:t xml:space="preserve"> driver’s licen</w:t>
      </w:r>
      <w:r>
        <w:rPr>
          <w:b/>
          <w:i/>
          <w:u w:val="single"/>
        </w:rPr>
        <w:t>se or identification card have been required</w:t>
      </w:r>
      <w:r w:rsidR="004E142A" w:rsidRPr="003C265E">
        <w:rPr>
          <w:b/>
          <w:i/>
          <w:u w:val="single"/>
        </w:rPr>
        <w:t xml:space="preserve"> submit their applications in hard copy for processing. This is a “glitch” </w:t>
      </w:r>
      <w:r>
        <w:rPr>
          <w:b/>
          <w:i/>
          <w:u w:val="single"/>
        </w:rPr>
        <w:t>from the statutory changes in 2012, which has been corrected in Section 2 of House Bill 563, effective July 1, 2013, if not vetoed.</w:t>
      </w:r>
    </w:p>
    <w:p w:rsidR="004E142A" w:rsidRDefault="004E142A" w:rsidP="004E142A">
      <w:pPr>
        <w:pStyle w:val="BlockText"/>
        <w:ind w:left="720"/>
        <w:rPr>
          <w:b/>
        </w:rPr>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01260C" w:rsidRDefault="0001260C" w:rsidP="0001260C">
      <w:pPr>
        <w:pStyle w:val="BlockText"/>
        <w:ind w:left="360"/>
      </w:pPr>
      <w:r>
        <w:t>3. Office of State Fire Marshal - Chapter 633, Florida Statutes and Chapter 69A, F.C.A.: Rule 69A-60.003, amended effective May 1, 2013, adopts the NPR 1, the Fire Code, Florida 2009 edition (as amended 3/2013 to add Section 18.4.1.3 to Section 18.4 - Fire Flow Requirements for Buildings).</w:t>
      </w:r>
    </w:p>
    <w:p w:rsidR="0001260C" w:rsidRDefault="00757661" w:rsidP="00757661">
      <w:pPr>
        <w:pStyle w:val="BlockText"/>
        <w:ind w:left="360"/>
      </w:pPr>
      <w:r>
        <w:rPr>
          <w:u w:val="single"/>
        </w:rPr>
        <w:t>Note:</w:t>
      </w:r>
      <w:r>
        <w:t xml:space="preserve"> Section 1 of Senate Bill 1122, effective July 1, 2013 unless vetoed, creates a new section 633.0215(6)(b) which EXMEPTS certain structures from application of the Florida Fire Prevention Code.</w:t>
      </w:r>
    </w:p>
    <w:p w:rsidR="00940447" w:rsidRPr="00797252" w:rsidRDefault="00940447" w:rsidP="00D9771C">
      <w:pPr>
        <w:pStyle w:val="BlockText"/>
      </w:pPr>
    </w:p>
    <w:p w:rsidR="00C04971" w:rsidRDefault="00CF37B7" w:rsidP="002B78B0">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436BA2">
        <w:t xml:space="preserve"> for 2013 concluded at 7:16 p.m. on Friday, May 3, 2013.</w:t>
      </w:r>
      <w:r w:rsidR="007F63B9">
        <w:t xml:space="preserve"> </w:t>
      </w:r>
      <w:r w:rsidR="005B581D">
        <w:t xml:space="preserve">Almost 100 </w:t>
      </w:r>
      <w:r w:rsidR="006E3B26">
        <w:t>construc</w:t>
      </w:r>
      <w:r w:rsidR="008B64BE">
        <w:t xml:space="preserve">tion-related bills </w:t>
      </w:r>
      <w:r w:rsidR="005B581D">
        <w:t>were filed for consi</w:t>
      </w:r>
      <w:r w:rsidR="00C04971">
        <w:t xml:space="preserve">deration, and the following </w:t>
      </w:r>
      <w:r w:rsidR="0066317C">
        <w:t>26</w:t>
      </w:r>
      <w:r w:rsidR="005B581D">
        <w:t xml:space="preserve"> bills were passed and </w:t>
      </w:r>
      <w:r w:rsidR="005B581D" w:rsidRPr="00695A6D">
        <w:rPr>
          <w:b/>
          <w:i/>
          <w:u w:val="single"/>
        </w:rPr>
        <w:t>ENROLLED</w:t>
      </w:r>
      <w:r w:rsidR="005B581D">
        <w:t xml:space="preserve"> (but only one </w:t>
      </w:r>
      <w:r w:rsidR="00695A6D">
        <w:t xml:space="preserve">such bill </w:t>
      </w:r>
      <w:r w:rsidR="005B581D">
        <w:t>has been presented to the Governor and signed, being Senate Bill 286 regarding Design Professional</w:t>
      </w:r>
      <w:r w:rsidR="00695A6D">
        <w:t>s</w:t>
      </w:r>
      <w:r w:rsidR="005B581D">
        <w:t xml:space="preserve">, which is </w:t>
      </w:r>
      <w:r w:rsidR="00695A6D">
        <w:t xml:space="preserve">now </w:t>
      </w:r>
      <w:r w:rsidR="005B581D">
        <w:t>Chapter 2013-028, Laws of Florida, effective July 1, 2013):</w:t>
      </w:r>
    </w:p>
    <w:p w:rsidR="00C04971" w:rsidRPr="00C04971" w:rsidRDefault="00C04971" w:rsidP="002B78B0">
      <w:pPr>
        <w:pStyle w:val="BlockText"/>
        <w:rPr>
          <w:u w:val="single"/>
        </w:rPr>
      </w:pPr>
      <w:r w:rsidRPr="00C04971">
        <w:rPr>
          <w:u w:val="single"/>
        </w:rPr>
        <w:t>Bill No.</w:t>
      </w:r>
      <w:r w:rsidRPr="00C04971">
        <w:rPr>
          <w:u w:val="single"/>
        </w:rPr>
        <w:tab/>
      </w:r>
      <w:r w:rsidRPr="00C04971">
        <w:rPr>
          <w:u w:val="single"/>
        </w:rPr>
        <w:tab/>
      </w:r>
      <w:r w:rsidRPr="00C04971">
        <w:rPr>
          <w:u w:val="single"/>
        </w:rPr>
        <w:tab/>
      </w:r>
      <w:r w:rsidRPr="00C04971">
        <w:rPr>
          <w:u w:val="single"/>
        </w:rPr>
        <w:tab/>
        <w:t>Title/Description</w:t>
      </w:r>
      <w:r w:rsidRPr="00C04971">
        <w:rPr>
          <w:u w:val="single"/>
        </w:rPr>
        <w:tab/>
      </w:r>
      <w:r w:rsidRPr="00C04971">
        <w:rPr>
          <w:u w:val="single"/>
        </w:rPr>
        <w:tab/>
      </w:r>
      <w:r w:rsidRPr="00C04971">
        <w:rPr>
          <w:u w:val="single"/>
        </w:rPr>
        <w:tab/>
      </w:r>
      <w:r w:rsidRPr="00C04971">
        <w:rPr>
          <w:u w:val="single"/>
        </w:rPr>
        <w:tab/>
        <w:t>Effective Date</w:t>
      </w:r>
    </w:p>
    <w:p w:rsidR="007C479E" w:rsidRDefault="00C04971" w:rsidP="00695A6D">
      <w:pPr>
        <w:pStyle w:val="BlockText"/>
      </w:pPr>
      <w:r>
        <w:t>21</w:t>
      </w:r>
      <w:r>
        <w:tab/>
      </w:r>
      <w:r>
        <w:tab/>
        <w:t>Background Screening for workers at public schools</w:t>
      </w:r>
      <w:r>
        <w:tab/>
      </w:r>
      <w:r>
        <w:tab/>
      </w:r>
      <w:r>
        <w:tab/>
        <w:t>July 1, 2013</w:t>
      </w:r>
    </w:p>
    <w:p w:rsidR="00C04971" w:rsidRDefault="00C04971" w:rsidP="002B78B0">
      <w:pPr>
        <w:pStyle w:val="BlockText"/>
      </w:pPr>
      <w:r>
        <w:t>57</w:t>
      </w:r>
      <w:r>
        <w:tab/>
      </w:r>
      <w:r>
        <w:tab/>
        <w:t>DBPR - transfer of funds to Homeowners' Recovery Fund</w:t>
      </w:r>
      <w:r>
        <w:tab/>
      </w:r>
      <w:r>
        <w:tab/>
        <w:t>Oct. 1, 2013</w:t>
      </w:r>
    </w:p>
    <w:p w:rsidR="00C04971" w:rsidRDefault="00C04971" w:rsidP="002B78B0">
      <w:pPr>
        <w:pStyle w:val="BlockText"/>
      </w:pPr>
      <w:r>
        <w:t>73</w:t>
      </w:r>
      <w:r>
        <w:tab/>
      </w:r>
      <w:r>
        <w:tab/>
        <w:t>R</w:t>
      </w:r>
      <w:r w:rsidR="00695A6D">
        <w:t>esidential Properties (elevators and window replacements)</w:t>
      </w:r>
      <w:r w:rsidR="00695A6D">
        <w:tab/>
      </w:r>
      <w:r>
        <w:t>July 1, 2013</w:t>
      </w:r>
    </w:p>
    <w:p w:rsidR="00695A6D" w:rsidRDefault="00695A6D" w:rsidP="002B78B0">
      <w:pPr>
        <w:pStyle w:val="BlockText"/>
      </w:pPr>
      <w:r>
        <w:t>85</w:t>
      </w:r>
      <w:r>
        <w:tab/>
      </w:r>
      <w:r>
        <w:tab/>
        <w:t>Public-Private Partnerships</w:t>
      </w:r>
      <w:r>
        <w:tab/>
      </w:r>
      <w:r>
        <w:tab/>
      </w:r>
      <w:r>
        <w:tab/>
      </w:r>
      <w:r>
        <w:tab/>
      </w:r>
      <w:r>
        <w:tab/>
      </w:r>
      <w:r>
        <w:tab/>
        <w:t>July 1, 2013</w:t>
      </w:r>
    </w:p>
    <w:p w:rsidR="00695A6D" w:rsidRDefault="00695A6D" w:rsidP="002B78B0">
      <w:pPr>
        <w:pStyle w:val="BlockText"/>
      </w:pPr>
      <w:r>
        <w:t>87</w:t>
      </w:r>
      <w:r>
        <w:tab/>
      </w:r>
      <w:r>
        <w:tab/>
        <w:t>Mortgages foreclosures</w:t>
      </w:r>
      <w:r>
        <w:tab/>
      </w:r>
      <w:r>
        <w:tab/>
      </w:r>
      <w:r>
        <w:tab/>
      </w:r>
      <w:r>
        <w:tab/>
      </w:r>
      <w:r>
        <w:tab/>
      </w:r>
      <w:r>
        <w:tab/>
        <w:t>July 1, 2013</w:t>
      </w:r>
    </w:p>
    <w:p w:rsidR="00695A6D" w:rsidRDefault="00695A6D" w:rsidP="002B78B0">
      <w:pPr>
        <w:pStyle w:val="BlockText"/>
      </w:pPr>
      <w:r>
        <w:t>112</w:t>
      </w:r>
      <w:r>
        <w:tab/>
      </w:r>
      <w:r>
        <w:tab/>
        <w:t xml:space="preserve">Filing false documents </w:t>
      </w:r>
      <w:r>
        <w:tab/>
      </w:r>
      <w:r>
        <w:tab/>
      </w:r>
      <w:r>
        <w:tab/>
      </w:r>
      <w:r>
        <w:tab/>
      </w:r>
      <w:r>
        <w:tab/>
      </w:r>
      <w:r>
        <w:tab/>
        <w:t>Oct. 1, 2013</w:t>
      </w:r>
    </w:p>
    <w:p w:rsidR="00695A6D" w:rsidRDefault="00695A6D" w:rsidP="002B78B0">
      <w:pPr>
        <w:pStyle w:val="BlockText"/>
      </w:pPr>
      <w:r>
        <w:t>120</w:t>
      </w:r>
      <w:r>
        <w:tab/>
      </w:r>
      <w:r>
        <w:tab/>
        <w:t>Condominiums (extends 7-year period for phrase construction)</w:t>
      </w:r>
      <w:r>
        <w:tab/>
        <w:t>UBL*</w:t>
      </w:r>
    </w:p>
    <w:p w:rsidR="00695A6D" w:rsidRDefault="00695A6D" w:rsidP="002B78B0">
      <w:pPr>
        <w:pStyle w:val="BlockText"/>
      </w:pPr>
      <w:r>
        <w:t>186</w:t>
      </w:r>
      <w:r>
        <w:tab/>
      </w:r>
      <w:r>
        <w:tab/>
      </w:r>
      <w:r w:rsidR="00E67C64">
        <w:t>Court J</w:t>
      </w:r>
      <w:r>
        <w:t>urisdiction</w:t>
      </w:r>
      <w:r w:rsidR="00E67C64">
        <w:tab/>
      </w:r>
      <w:r w:rsidR="00E67C64">
        <w:tab/>
      </w:r>
      <w:r w:rsidR="00E67C64">
        <w:tab/>
      </w:r>
      <w:r w:rsidR="00E67C64">
        <w:tab/>
      </w:r>
      <w:r w:rsidR="00E67C64">
        <w:tab/>
      </w:r>
      <w:r w:rsidR="00E67C64">
        <w:tab/>
      </w:r>
      <w:r w:rsidR="00E67C64">
        <w:tab/>
        <w:t>July 1, 2013</w:t>
      </w:r>
    </w:p>
    <w:p w:rsidR="00695A6D" w:rsidRDefault="00695A6D" w:rsidP="002B78B0">
      <w:pPr>
        <w:pStyle w:val="BlockText"/>
      </w:pPr>
      <w:r>
        <w:t>267</w:t>
      </w:r>
      <w:r>
        <w:tab/>
      </w:r>
      <w:r>
        <w:tab/>
        <w:t>Real Property Liens and Conveyances</w:t>
      </w:r>
      <w:r>
        <w:tab/>
      </w:r>
      <w:r>
        <w:tab/>
      </w:r>
      <w:r>
        <w:tab/>
      </w:r>
      <w:r>
        <w:tab/>
        <w:t>Oct. 1, 2013</w:t>
      </w:r>
    </w:p>
    <w:p w:rsidR="00695A6D" w:rsidRDefault="00695A6D" w:rsidP="002B78B0">
      <w:pPr>
        <w:pStyle w:val="BlockText"/>
      </w:pPr>
      <w:r>
        <w:t>269</w:t>
      </w:r>
      <w:r>
        <w:tab/>
      </w:r>
      <w:r>
        <w:tab/>
        <w:t>Public Construction Projects</w:t>
      </w:r>
      <w:r>
        <w:tab/>
      </w:r>
      <w:r>
        <w:tab/>
      </w:r>
      <w:r>
        <w:tab/>
      </w:r>
      <w:r>
        <w:tab/>
      </w:r>
      <w:r>
        <w:tab/>
      </w:r>
      <w:r>
        <w:tab/>
        <w:t>July 1, 2013</w:t>
      </w:r>
    </w:p>
    <w:p w:rsidR="00E67C64" w:rsidRDefault="00E67C64" w:rsidP="002B78B0">
      <w:pPr>
        <w:pStyle w:val="BlockText"/>
      </w:pPr>
      <w:r>
        <w:t>286</w:t>
      </w:r>
      <w:r>
        <w:tab/>
      </w:r>
      <w:r>
        <w:tab/>
        <w:t>Design Professional (now Chapter 2013-028, LOF)</w:t>
      </w:r>
      <w:r>
        <w:tab/>
      </w:r>
      <w:r>
        <w:tab/>
      </w:r>
      <w:r>
        <w:tab/>
        <w:t>July 1, 2013</w:t>
      </w:r>
    </w:p>
    <w:p w:rsidR="00E67C64" w:rsidRDefault="00E67C64" w:rsidP="002B78B0">
      <w:pPr>
        <w:pStyle w:val="BlockText"/>
      </w:pPr>
      <w:r>
        <w:t>364</w:t>
      </w:r>
      <w:r>
        <w:tab/>
      </w:r>
      <w:r>
        <w:tab/>
        <w:t>Consumptive Use Permits</w:t>
      </w:r>
      <w:r>
        <w:tab/>
      </w:r>
      <w:r>
        <w:tab/>
      </w:r>
      <w:r>
        <w:tab/>
      </w:r>
      <w:r>
        <w:tab/>
      </w:r>
      <w:r>
        <w:tab/>
      </w:r>
      <w:r>
        <w:tab/>
        <w:t>July 1, 2013</w:t>
      </w:r>
    </w:p>
    <w:p w:rsidR="00E67C64" w:rsidRDefault="00E67C64" w:rsidP="002B78B0">
      <w:pPr>
        <w:pStyle w:val="BlockText"/>
      </w:pPr>
      <w:r>
        <w:t>375</w:t>
      </w:r>
      <w:r>
        <w:tab/>
      </w:r>
      <w:r>
        <w:tab/>
        <w:t>On-site Sewerage Treatment Systems and Disposal</w:t>
      </w:r>
      <w:r>
        <w:tab/>
      </w:r>
      <w:r>
        <w:tab/>
      </w:r>
      <w:r>
        <w:tab/>
        <w:t>July 1, 2013</w:t>
      </w:r>
    </w:p>
    <w:p w:rsidR="00E67C64" w:rsidRDefault="00E67C64" w:rsidP="002B78B0">
      <w:pPr>
        <w:pStyle w:val="BlockText"/>
      </w:pPr>
      <w:r>
        <w:t>444</w:t>
      </w:r>
      <w:r>
        <w:tab/>
      </w:r>
      <w:r>
        <w:tab/>
        <w:t>Discharge of Domestic Wastewater through Ocean Outlets</w:t>
      </w:r>
      <w:r>
        <w:tab/>
      </w:r>
      <w:r>
        <w:tab/>
        <w:t>July 1, 2013</w:t>
      </w:r>
    </w:p>
    <w:p w:rsidR="00E67C64" w:rsidRDefault="00E67C64" w:rsidP="002B78B0">
      <w:pPr>
        <w:pStyle w:val="BlockText"/>
      </w:pPr>
      <w:r>
        <w:t>530</w:t>
      </w:r>
      <w:r>
        <w:tab/>
      </w:r>
      <w:r>
        <w:tab/>
        <w:t>Dispute Resolution (Revised Arbitration Code)</w:t>
      </w:r>
      <w:r>
        <w:tab/>
      </w:r>
      <w:r>
        <w:tab/>
      </w:r>
      <w:r>
        <w:tab/>
        <w:t>July 1, 2013**</w:t>
      </w:r>
    </w:p>
    <w:p w:rsidR="00604806" w:rsidRDefault="00604806" w:rsidP="002B78B0">
      <w:pPr>
        <w:pStyle w:val="BlockText"/>
      </w:pPr>
      <w:r>
        <w:t>553</w:t>
      </w:r>
      <w:r>
        <w:tab/>
      </w:r>
      <w:r>
        <w:tab/>
        <w:t>Workers' Compensation Administration</w:t>
      </w:r>
      <w:r>
        <w:tab/>
      </w:r>
      <w:r>
        <w:tab/>
      </w:r>
      <w:r>
        <w:tab/>
      </w:r>
      <w:r>
        <w:tab/>
        <w:t>July 1, 2013</w:t>
      </w:r>
    </w:p>
    <w:p w:rsidR="00604806" w:rsidRDefault="00604806" w:rsidP="002B78B0">
      <w:pPr>
        <w:pStyle w:val="BlockText"/>
      </w:pPr>
      <w:r>
        <w:t>682</w:t>
      </w:r>
      <w:r>
        <w:tab/>
      </w:r>
      <w:r>
        <w:tab/>
        <w:t>Fossil Fuel Combustion Products Storage</w:t>
      </w:r>
      <w:r>
        <w:tab/>
      </w:r>
      <w:r>
        <w:tab/>
      </w:r>
      <w:r>
        <w:tab/>
      </w:r>
      <w:r>
        <w:tab/>
        <w:t>July 1, 2013</w:t>
      </w:r>
    </w:p>
    <w:p w:rsidR="00604806" w:rsidRDefault="00604806" w:rsidP="002B78B0">
      <w:pPr>
        <w:pStyle w:val="BlockText"/>
      </w:pPr>
      <w:r>
        <w:t>935</w:t>
      </w:r>
      <w:r>
        <w:tab/>
      </w:r>
      <w:r>
        <w:tab/>
        <w:t>Florida False Claims Act</w:t>
      </w:r>
      <w:r>
        <w:tab/>
      </w:r>
      <w:r>
        <w:tab/>
      </w:r>
      <w:r>
        <w:tab/>
      </w:r>
      <w:r>
        <w:tab/>
      </w:r>
      <w:r>
        <w:tab/>
      </w:r>
      <w:r>
        <w:tab/>
        <w:t>July 1, 2013</w:t>
      </w:r>
    </w:p>
    <w:p w:rsidR="00604806" w:rsidRDefault="00604806" w:rsidP="002B78B0">
      <w:pPr>
        <w:pStyle w:val="BlockText"/>
      </w:pPr>
      <w:r>
        <w:t>973</w:t>
      </w:r>
      <w:r>
        <w:tab/>
      </w:r>
      <w:r>
        <w:tab/>
        <w:t>Low-voltage Systems</w:t>
      </w:r>
      <w:r>
        <w:tab/>
      </w:r>
      <w:r>
        <w:tab/>
      </w:r>
      <w:r>
        <w:tab/>
      </w:r>
      <w:r>
        <w:tab/>
      </w:r>
      <w:r>
        <w:tab/>
      </w:r>
      <w:r>
        <w:tab/>
      </w:r>
      <w:r>
        <w:tab/>
        <w:t>Oct. 1, 2013</w:t>
      </w:r>
    </w:p>
    <w:p w:rsidR="00604806" w:rsidRDefault="0066317C" w:rsidP="002B78B0">
      <w:pPr>
        <w:pStyle w:val="BlockText"/>
      </w:pPr>
      <w:r>
        <w:t>999</w:t>
      </w:r>
      <w:r>
        <w:tab/>
      </w:r>
      <w:r>
        <w:tab/>
        <w:t>Environmenta</w:t>
      </w:r>
      <w:r w:rsidR="00604806">
        <w:t>l Regulation</w:t>
      </w:r>
      <w:r>
        <w:tab/>
      </w:r>
      <w:r>
        <w:tab/>
      </w:r>
      <w:r>
        <w:tab/>
      </w:r>
      <w:r>
        <w:tab/>
      </w:r>
      <w:r>
        <w:tab/>
      </w:r>
      <w:r>
        <w:tab/>
        <w:t>July 1, 2013</w:t>
      </w:r>
    </w:p>
    <w:p w:rsidR="0066317C" w:rsidRDefault="0066317C" w:rsidP="002B78B0">
      <w:pPr>
        <w:pStyle w:val="BlockText"/>
      </w:pPr>
      <w:r>
        <w:t>1122</w:t>
      </w:r>
      <w:r>
        <w:tab/>
      </w:r>
      <w:r>
        <w:tab/>
        <w:t>Florida Fire Prevention Code</w:t>
      </w:r>
      <w:r>
        <w:tab/>
      </w:r>
      <w:r>
        <w:tab/>
      </w:r>
      <w:r>
        <w:tab/>
      </w:r>
      <w:r>
        <w:tab/>
      </w:r>
      <w:r>
        <w:tab/>
      </w:r>
      <w:r>
        <w:tab/>
        <w:t>July 1, 2013</w:t>
      </w:r>
    </w:p>
    <w:p w:rsidR="0066317C" w:rsidRDefault="0066317C" w:rsidP="002B78B0">
      <w:pPr>
        <w:pStyle w:val="BlockText"/>
      </w:pPr>
      <w:r>
        <w:t>1145</w:t>
      </w:r>
      <w:r>
        <w:tab/>
      </w:r>
      <w:r>
        <w:tab/>
        <w:t>State-owned/leased Space (energy conservation)</w:t>
      </w:r>
      <w:r>
        <w:tab/>
      </w:r>
      <w:r>
        <w:tab/>
      </w:r>
      <w:r>
        <w:tab/>
        <w:t>July 1, 2013</w:t>
      </w:r>
    </w:p>
    <w:p w:rsidR="0066317C" w:rsidRDefault="0066317C" w:rsidP="002B78B0">
      <w:pPr>
        <w:pStyle w:val="BlockText"/>
      </w:pPr>
      <w:r>
        <w:t>1309</w:t>
      </w:r>
      <w:r>
        <w:tab/>
      </w:r>
      <w:r>
        <w:tab/>
        <w:t>Procurement/Contracting Services</w:t>
      </w:r>
      <w:r>
        <w:tab/>
      </w:r>
      <w:r>
        <w:tab/>
      </w:r>
      <w:r>
        <w:tab/>
      </w:r>
      <w:r>
        <w:tab/>
      </w:r>
      <w:r>
        <w:tab/>
        <w:t>July 1, 2013</w:t>
      </w:r>
    </w:p>
    <w:p w:rsidR="0066317C" w:rsidRDefault="0066317C" w:rsidP="002B78B0">
      <w:pPr>
        <w:pStyle w:val="BlockText"/>
      </w:pPr>
      <w:r>
        <w:t>1410</w:t>
      </w:r>
      <w:r>
        <w:tab/>
      </w:r>
      <w:r>
        <w:tab/>
        <w:t>Fire Safety and Prevention</w:t>
      </w:r>
      <w:r>
        <w:tab/>
      </w:r>
      <w:r>
        <w:tab/>
      </w:r>
      <w:r>
        <w:tab/>
      </w:r>
      <w:r>
        <w:tab/>
      </w:r>
      <w:r>
        <w:tab/>
      </w:r>
      <w:r>
        <w:tab/>
        <w:t>July 1, 2013</w:t>
      </w:r>
    </w:p>
    <w:p w:rsidR="0066317C" w:rsidRDefault="0066317C" w:rsidP="002B78B0">
      <w:pPr>
        <w:pStyle w:val="BlockText"/>
      </w:pPr>
      <w:r>
        <w:t>1594</w:t>
      </w:r>
      <w:r>
        <w:tab/>
      </w:r>
      <w:r>
        <w:tab/>
        <w:t>Guaranteed Energy Performance Saving Contracting</w:t>
      </w:r>
      <w:r>
        <w:tab/>
      </w:r>
      <w:r>
        <w:tab/>
        <w:t>July 1, 2013</w:t>
      </w:r>
    </w:p>
    <w:p w:rsidR="0066317C" w:rsidRDefault="0066317C" w:rsidP="002B78B0">
      <w:pPr>
        <w:pStyle w:val="BlockText"/>
      </w:pPr>
      <w:r>
        <w:t>7019</w:t>
      </w:r>
      <w:r>
        <w:tab/>
      </w:r>
      <w:r>
        <w:tab/>
        <w:t>Development Permits</w:t>
      </w:r>
      <w:r>
        <w:tab/>
      </w:r>
      <w:r>
        <w:tab/>
      </w:r>
      <w:r>
        <w:tab/>
      </w:r>
      <w:r>
        <w:tab/>
      </w:r>
      <w:r>
        <w:tab/>
      </w:r>
      <w:r>
        <w:tab/>
      </w:r>
      <w:r>
        <w:tab/>
        <w:t>July 1, 2013</w:t>
      </w:r>
    </w:p>
    <w:p w:rsidR="00530892" w:rsidRDefault="00530892" w:rsidP="002B78B0">
      <w:pPr>
        <w:pStyle w:val="BlockText"/>
      </w:pPr>
    </w:p>
    <w:p w:rsidR="00695A6D" w:rsidRDefault="008157CF" w:rsidP="00695A6D">
      <w:pPr>
        <w:pStyle w:val="BlockText"/>
      </w:pPr>
      <w:r>
        <w:rPr>
          <w:u w:val="single"/>
        </w:rPr>
        <w:t xml:space="preserve">Important </w:t>
      </w:r>
      <w:r w:rsidR="00695A6D" w:rsidRPr="00C04971">
        <w:rPr>
          <w:u w:val="single"/>
        </w:rPr>
        <w:t>Note:</w:t>
      </w:r>
      <w:r w:rsidR="00695A6D">
        <w:t xml:space="preserve"> There were NO changes in Chapter 713 (</w:t>
      </w:r>
      <w:r w:rsidR="0066317C">
        <w:t>construction liens)</w:t>
      </w:r>
      <w:r>
        <w:t>,</w:t>
      </w:r>
      <w:r w:rsidR="0066317C">
        <w:t xml:space="preserve"> except for correcting a</w:t>
      </w:r>
      <w:r w:rsidR="00695A6D">
        <w:t xml:space="preserve"> cross-reference to Chapter 633, and a cross-reference </w:t>
      </w:r>
      <w:r w:rsidR="0066317C">
        <w:t xml:space="preserve">in Senate Bill 112 </w:t>
      </w:r>
      <w:r>
        <w:t>to Section 713.31 in order to</w:t>
      </w:r>
      <w:r w:rsidR="00695A6D">
        <w:t xml:space="preserve"> exclude fraudulent liens</w:t>
      </w:r>
      <w:r w:rsidR="0066317C">
        <w:t xml:space="preserve"> </w:t>
      </w:r>
      <w:r>
        <w:t>from the new</w:t>
      </w:r>
      <w:r w:rsidR="0066317C">
        <w:t xml:space="preserve"> "crime" of filing a false document.</w:t>
      </w:r>
    </w:p>
    <w:p w:rsidR="00695A6D" w:rsidRDefault="00695A6D" w:rsidP="00695A6D">
      <w:pPr>
        <w:pStyle w:val="BlockText"/>
      </w:pPr>
    </w:p>
    <w:p w:rsidR="00695A6D" w:rsidRDefault="00695A6D" w:rsidP="00695A6D">
      <w:pPr>
        <w:pStyle w:val="BlockText"/>
      </w:pPr>
      <w:r>
        <w:t>* Effective date is "upon becoming law," which is when it has been filed in with the Secretary of State (which is usually the date the Governor signs it or allows it to beco</w:t>
      </w:r>
      <w:r w:rsidR="008157CF">
        <w:t>me law without his signature). Upon conclusion of the legislative session, t</w:t>
      </w:r>
      <w:r>
        <w:t xml:space="preserve">he Governor has 15 days after a bill is "presented" to him by </w:t>
      </w:r>
      <w:r w:rsidR="008157CF">
        <w:t xml:space="preserve">signed certification from </w:t>
      </w:r>
      <w:r>
        <w:t>the legislative presiding officers (for which there is NO time limit) within which to sign, veto or allow it to become law.</w:t>
      </w:r>
    </w:p>
    <w:p w:rsidR="00E67C64" w:rsidRDefault="00E67C64" w:rsidP="00695A6D">
      <w:pPr>
        <w:pStyle w:val="BlockText"/>
      </w:pPr>
    </w:p>
    <w:p w:rsidR="00E67C64" w:rsidRDefault="00E67C64" w:rsidP="00695A6D">
      <w:pPr>
        <w:pStyle w:val="BlockText"/>
      </w:pPr>
      <w:r>
        <w:t>** Changes to the Florida Arbitration Code by Senate Bill 53</w:t>
      </w:r>
      <w:r w:rsidR="00604806">
        <w:t>0 are applicable to agreements entered into on or after July 1, 2013; however, AFTER June 30, 2016, this revised code will be applicable to agreements entered into BEFORE July 1, 2013</w:t>
      </w:r>
      <w:r>
        <w:t>.</w:t>
      </w:r>
    </w:p>
    <w:p w:rsidR="008B64BE" w:rsidRDefault="008B64BE" w:rsidP="002B78B0">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156092" w:rsidRDefault="0074468A" w:rsidP="002B78B0">
      <w:pPr>
        <w:pStyle w:val="BlockText"/>
      </w:pPr>
      <w:r>
        <w:t>June 8</w:t>
      </w:r>
      <w:r w:rsidR="0029168D">
        <w:t>, 2</w:t>
      </w:r>
      <w:r w:rsidR="00156092">
        <w:t>012.</w:t>
      </w:r>
    </w:p>
    <w:p w:rsidR="009C6CE8" w:rsidRDefault="009C6CE8" w:rsidP="00922A6D">
      <w:pPr>
        <w:pStyle w:val="BlockText"/>
        <w:ind w:left="360"/>
      </w:pPr>
    </w:p>
    <w:p w:rsidR="005B581D" w:rsidRDefault="005B581D">
      <w:pPr>
        <w:pStyle w:val="BlockText"/>
        <w:ind w:left="360"/>
      </w:pPr>
    </w:p>
    <w:sectPr w:rsidR="005B581D"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5C" w:rsidRDefault="0060515C" w:rsidP="009A2CBA">
      <w:r>
        <w:separator/>
      </w:r>
    </w:p>
  </w:endnote>
  <w:endnote w:type="continuationSeparator" w:id="0">
    <w:p w:rsidR="0060515C" w:rsidRDefault="0060515C"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B3" w:rsidRDefault="00843F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Default="00C014A9" w:rsidP="000421B5">
    <w:pPr>
      <w:pStyle w:val="Footer"/>
    </w:pPr>
    <w:r>
      <w:tab/>
    </w:r>
    <w:fldSimple w:instr=" PAGE   \* MERGEFORMAT ">
      <w:r w:rsidR="002D5F52">
        <w:rPr>
          <w:noProof/>
        </w:rPr>
        <w:t>2</w:t>
      </w:r>
    </w:fldSimple>
  </w:p>
  <w:p w:rsidR="00C014A9" w:rsidRPr="00911FE4" w:rsidRDefault="00843FB3" w:rsidP="000421B5">
    <w:pPr>
      <w:pStyle w:val="Footer"/>
      <w:rPr>
        <w:rStyle w:val="DocID"/>
      </w:rPr>
    </w:pPr>
    <w:r w:rsidRPr="00843FB3">
      <w:rPr>
        <w:rStyle w:val="DocID"/>
      </w:rPr>
      <w:t>#23472069_v1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Pr="00911FE4" w:rsidRDefault="00FF5455" w:rsidP="000421B5">
    <w:pPr>
      <w:pStyle w:val="Footer"/>
      <w:rPr>
        <w:rStyle w:val="DocID"/>
      </w:rPr>
    </w:pPr>
    <w:r>
      <w:rPr>
        <w:sz w:val="20"/>
      </w:rPr>
      <w:fldChar w:fldCharType="begin"/>
    </w:r>
    <w:r w:rsidR="00C014A9">
      <w:rPr>
        <w:sz w:val="20"/>
      </w:rPr>
      <w:instrText xml:space="preserve"> If </w:instrText>
    </w:r>
    <w:r>
      <w:rPr>
        <w:sz w:val="20"/>
      </w:rPr>
      <w:fldChar w:fldCharType="begin"/>
    </w:r>
    <w:r w:rsidR="00C014A9">
      <w:rPr>
        <w:sz w:val="20"/>
      </w:rPr>
      <w:instrText xml:space="preserve"> numpages </w:instrText>
    </w:r>
    <w:r>
      <w:rPr>
        <w:sz w:val="20"/>
      </w:rPr>
      <w:fldChar w:fldCharType="separate"/>
    </w:r>
    <w:r w:rsidR="002D5F52">
      <w:rPr>
        <w:noProof/>
        <w:sz w:val="20"/>
      </w:rPr>
      <w:instrText>1</w:instrText>
    </w:r>
    <w:r>
      <w:rPr>
        <w:sz w:val="20"/>
      </w:rPr>
      <w:fldChar w:fldCharType="end"/>
    </w:r>
    <w:r w:rsidR="00C014A9">
      <w:rPr>
        <w:sz w:val="20"/>
      </w:rPr>
      <w:instrText xml:space="preserve"> = 1 </w:instrText>
    </w:r>
    <w:r w:rsidR="00C014A9" w:rsidRPr="0090427C">
      <w:rPr>
        <w:rStyle w:val="DocID"/>
      </w:rPr>
      <w:instrText>#12612613_v1</w:instrText>
    </w:r>
    <w:r w:rsidR="00C014A9">
      <w:instrText xml:space="preserve"> ""</w:instrText>
    </w:r>
    <w:r w:rsidR="00C014A9">
      <w:rPr>
        <w:sz w:val="20"/>
      </w:rPr>
      <w:instrText xml:space="preserve"> </w:instrText>
    </w:r>
    <w:r w:rsidR="002D5F52">
      <w:rPr>
        <w:sz w:val="20"/>
      </w:rPr>
      <w:fldChar w:fldCharType="separate"/>
    </w:r>
    <w:r w:rsidR="002D5F52" w:rsidRPr="0090427C">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5C" w:rsidRDefault="0060515C" w:rsidP="009A2CBA">
      <w:r>
        <w:separator/>
      </w:r>
    </w:p>
  </w:footnote>
  <w:footnote w:type="continuationSeparator" w:id="0">
    <w:p w:rsidR="0060515C" w:rsidRDefault="0060515C" w:rsidP="009A2CBA">
      <w:r>
        <w:continuationSeparator/>
      </w:r>
    </w:p>
  </w:footnote>
  <w:footnote w:id="1">
    <w:p w:rsidR="00491907" w:rsidRPr="0038047E" w:rsidRDefault="00C014A9" w:rsidP="00491907">
      <w:pPr>
        <w:pStyle w:val="BlockText"/>
      </w:pPr>
      <w:r>
        <w:rPr>
          <w:rStyle w:val="FootnoteReference"/>
        </w:rPr>
        <w:footnoteRef/>
      </w:r>
      <w:r w:rsidR="00E1125C">
        <w:t xml:space="preserve"> This agency is not allowed to grant variances or waivers from the Florida Building Code, expect as to handicapped accessibility</w:t>
      </w:r>
      <w:r w:rsidR="00491907">
        <w:t xml:space="preserve">. </w:t>
      </w:r>
      <w:r w:rsidR="00491907" w:rsidRPr="0038047E">
        <w:t xml:space="preserve">As part of the TRANSFER of this commission from the now-defunct Department of Community Affairs to the Department of Business and Professional Regulation, all rules from </w:t>
      </w:r>
      <w:r w:rsidR="00491907">
        <w:t xml:space="preserve">former </w:t>
      </w:r>
      <w:r w:rsidR="00491907" w:rsidRPr="0038047E">
        <w:t>Chapter 9N have been TRANSFERRED to Chapter 61G20, FAC.</w:t>
      </w:r>
    </w:p>
    <w:p w:rsidR="00C014A9" w:rsidRDefault="00C014A9" w:rsidP="004E142A">
      <w:pPr>
        <w:pStyle w:val="BlockText"/>
      </w:pPr>
    </w:p>
    <w:p w:rsidR="00C014A9" w:rsidRDefault="00C014A9"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B3" w:rsidRDefault="00843F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B3" w:rsidRDefault="00843F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B3" w:rsidRDefault="00843F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260C"/>
    <w:rsid w:val="00013164"/>
    <w:rsid w:val="00016A29"/>
    <w:rsid w:val="00026C6B"/>
    <w:rsid w:val="00027FC3"/>
    <w:rsid w:val="000302BC"/>
    <w:rsid w:val="000324B5"/>
    <w:rsid w:val="000340FB"/>
    <w:rsid w:val="000341ED"/>
    <w:rsid w:val="000421B5"/>
    <w:rsid w:val="0005012E"/>
    <w:rsid w:val="000509E7"/>
    <w:rsid w:val="00052694"/>
    <w:rsid w:val="00054D0D"/>
    <w:rsid w:val="0005515D"/>
    <w:rsid w:val="00055700"/>
    <w:rsid w:val="00074EDF"/>
    <w:rsid w:val="00084298"/>
    <w:rsid w:val="000A3246"/>
    <w:rsid w:val="000A4BA4"/>
    <w:rsid w:val="000B0E17"/>
    <w:rsid w:val="000B1DDB"/>
    <w:rsid w:val="000B76DD"/>
    <w:rsid w:val="000C4772"/>
    <w:rsid w:val="000D2555"/>
    <w:rsid w:val="000D7A4E"/>
    <w:rsid w:val="000E17E8"/>
    <w:rsid w:val="000E6D1A"/>
    <w:rsid w:val="000F112D"/>
    <w:rsid w:val="000F2EBD"/>
    <w:rsid w:val="000F6911"/>
    <w:rsid w:val="000F69D8"/>
    <w:rsid w:val="00100E22"/>
    <w:rsid w:val="00103CDF"/>
    <w:rsid w:val="0010433D"/>
    <w:rsid w:val="00107362"/>
    <w:rsid w:val="00110D3B"/>
    <w:rsid w:val="001114F7"/>
    <w:rsid w:val="001148B5"/>
    <w:rsid w:val="001156AF"/>
    <w:rsid w:val="00117224"/>
    <w:rsid w:val="00117544"/>
    <w:rsid w:val="00121A5A"/>
    <w:rsid w:val="00126ABD"/>
    <w:rsid w:val="0013367A"/>
    <w:rsid w:val="00135B1C"/>
    <w:rsid w:val="001437FC"/>
    <w:rsid w:val="00146E4E"/>
    <w:rsid w:val="001476D7"/>
    <w:rsid w:val="00151720"/>
    <w:rsid w:val="00151F43"/>
    <w:rsid w:val="00156092"/>
    <w:rsid w:val="001572A8"/>
    <w:rsid w:val="001673C5"/>
    <w:rsid w:val="00172C04"/>
    <w:rsid w:val="00175923"/>
    <w:rsid w:val="0019065B"/>
    <w:rsid w:val="001963BC"/>
    <w:rsid w:val="001B0E80"/>
    <w:rsid w:val="001B11FD"/>
    <w:rsid w:val="001B5A99"/>
    <w:rsid w:val="001B5DD4"/>
    <w:rsid w:val="001B6195"/>
    <w:rsid w:val="001B73F6"/>
    <w:rsid w:val="001D0121"/>
    <w:rsid w:val="001D1B70"/>
    <w:rsid w:val="001D25D1"/>
    <w:rsid w:val="001D50A8"/>
    <w:rsid w:val="001E327E"/>
    <w:rsid w:val="001F01B4"/>
    <w:rsid w:val="001F18CD"/>
    <w:rsid w:val="001F7DB9"/>
    <w:rsid w:val="00200951"/>
    <w:rsid w:val="00210263"/>
    <w:rsid w:val="00221926"/>
    <w:rsid w:val="00221AAE"/>
    <w:rsid w:val="00222C12"/>
    <w:rsid w:val="002236E8"/>
    <w:rsid w:val="0022445A"/>
    <w:rsid w:val="00227443"/>
    <w:rsid w:val="002321A5"/>
    <w:rsid w:val="002348A5"/>
    <w:rsid w:val="002363CA"/>
    <w:rsid w:val="00236AB0"/>
    <w:rsid w:val="00237AEC"/>
    <w:rsid w:val="00243FF8"/>
    <w:rsid w:val="00246D22"/>
    <w:rsid w:val="00251EB1"/>
    <w:rsid w:val="00252DC4"/>
    <w:rsid w:val="002558FB"/>
    <w:rsid w:val="00262A25"/>
    <w:rsid w:val="002630F7"/>
    <w:rsid w:val="00274276"/>
    <w:rsid w:val="002857BE"/>
    <w:rsid w:val="00286558"/>
    <w:rsid w:val="00286B40"/>
    <w:rsid w:val="00290B6F"/>
    <w:rsid w:val="0029168D"/>
    <w:rsid w:val="00294F80"/>
    <w:rsid w:val="002A4DD8"/>
    <w:rsid w:val="002A777F"/>
    <w:rsid w:val="002B09F1"/>
    <w:rsid w:val="002B0DFC"/>
    <w:rsid w:val="002B3E98"/>
    <w:rsid w:val="002B78B0"/>
    <w:rsid w:val="002C378F"/>
    <w:rsid w:val="002C5E1D"/>
    <w:rsid w:val="002D1599"/>
    <w:rsid w:val="002D4362"/>
    <w:rsid w:val="002D5F52"/>
    <w:rsid w:val="002E2A6D"/>
    <w:rsid w:val="002F015B"/>
    <w:rsid w:val="002F16B3"/>
    <w:rsid w:val="00305D83"/>
    <w:rsid w:val="00305FDE"/>
    <w:rsid w:val="00311BC1"/>
    <w:rsid w:val="003134D3"/>
    <w:rsid w:val="0031487D"/>
    <w:rsid w:val="003154E8"/>
    <w:rsid w:val="00321E89"/>
    <w:rsid w:val="003239B0"/>
    <w:rsid w:val="0032598E"/>
    <w:rsid w:val="003319A7"/>
    <w:rsid w:val="003376F7"/>
    <w:rsid w:val="00340637"/>
    <w:rsid w:val="00340740"/>
    <w:rsid w:val="00340B4E"/>
    <w:rsid w:val="00345235"/>
    <w:rsid w:val="003473F4"/>
    <w:rsid w:val="003563EF"/>
    <w:rsid w:val="0036439B"/>
    <w:rsid w:val="00376DA1"/>
    <w:rsid w:val="0038047E"/>
    <w:rsid w:val="00383EFB"/>
    <w:rsid w:val="00384141"/>
    <w:rsid w:val="00385904"/>
    <w:rsid w:val="003A0148"/>
    <w:rsid w:val="003A1E91"/>
    <w:rsid w:val="003A33A5"/>
    <w:rsid w:val="003A4FB0"/>
    <w:rsid w:val="003B5B30"/>
    <w:rsid w:val="003C09F0"/>
    <w:rsid w:val="003C265E"/>
    <w:rsid w:val="003C50CC"/>
    <w:rsid w:val="003D34DF"/>
    <w:rsid w:val="003D6EAC"/>
    <w:rsid w:val="003D7308"/>
    <w:rsid w:val="003E13A7"/>
    <w:rsid w:val="003E3843"/>
    <w:rsid w:val="003F5F1A"/>
    <w:rsid w:val="00416C25"/>
    <w:rsid w:val="004200FB"/>
    <w:rsid w:val="004204AE"/>
    <w:rsid w:val="00425FE8"/>
    <w:rsid w:val="00427A5F"/>
    <w:rsid w:val="00427E2F"/>
    <w:rsid w:val="00436BA2"/>
    <w:rsid w:val="004406AC"/>
    <w:rsid w:val="00441CD1"/>
    <w:rsid w:val="00454846"/>
    <w:rsid w:val="0045543B"/>
    <w:rsid w:val="0046192D"/>
    <w:rsid w:val="004634BE"/>
    <w:rsid w:val="00465432"/>
    <w:rsid w:val="0047003F"/>
    <w:rsid w:val="00474D96"/>
    <w:rsid w:val="00484B9C"/>
    <w:rsid w:val="00491907"/>
    <w:rsid w:val="00492027"/>
    <w:rsid w:val="004A0671"/>
    <w:rsid w:val="004A451E"/>
    <w:rsid w:val="004A5613"/>
    <w:rsid w:val="004A582F"/>
    <w:rsid w:val="004A6E9B"/>
    <w:rsid w:val="004B196B"/>
    <w:rsid w:val="004C458B"/>
    <w:rsid w:val="004C63D8"/>
    <w:rsid w:val="004C7846"/>
    <w:rsid w:val="004E142A"/>
    <w:rsid w:val="004E2A5D"/>
    <w:rsid w:val="004E35D0"/>
    <w:rsid w:val="004E61C2"/>
    <w:rsid w:val="004E7067"/>
    <w:rsid w:val="004F030C"/>
    <w:rsid w:val="004F3D87"/>
    <w:rsid w:val="00500503"/>
    <w:rsid w:val="00504537"/>
    <w:rsid w:val="005063F3"/>
    <w:rsid w:val="0051221A"/>
    <w:rsid w:val="00512724"/>
    <w:rsid w:val="00520F5E"/>
    <w:rsid w:val="005237C4"/>
    <w:rsid w:val="00530892"/>
    <w:rsid w:val="00530CD6"/>
    <w:rsid w:val="00535353"/>
    <w:rsid w:val="00535A2B"/>
    <w:rsid w:val="00540398"/>
    <w:rsid w:val="005463F4"/>
    <w:rsid w:val="00553CBE"/>
    <w:rsid w:val="00555FBF"/>
    <w:rsid w:val="005665C2"/>
    <w:rsid w:val="0059572F"/>
    <w:rsid w:val="005A61CC"/>
    <w:rsid w:val="005A74C3"/>
    <w:rsid w:val="005B212C"/>
    <w:rsid w:val="005B2CCD"/>
    <w:rsid w:val="005B558F"/>
    <w:rsid w:val="005B581D"/>
    <w:rsid w:val="005C08FA"/>
    <w:rsid w:val="005C40F9"/>
    <w:rsid w:val="005C5CFC"/>
    <w:rsid w:val="005D217B"/>
    <w:rsid w:val="005D5F3E"/>
    <w:rsid w:val="005D71D8"/>
    <w:rsid w:val="005E4539"/>
    <w:rsid w:val="005F17D4"/>
    <w:rsid w:val="005F1FB3"/>
    <w:rsid w:val="005F4A79"/>
    <w:rsid w:val="005F705E"/>
    <w:rsid w:val="005F770C"/>
    <w:rsid w:val="00600D46"/>
    <w:rsid w:val="00604806"/>
    <w:rsid w:val="0060515C"/>
    <w:rsid w:val="0060730E"/>
    <w:rsid w:val="00614279"/>
    <w:rsid w:val="00620CC5"/>
    <w:rsid w:val="006221E1"/>
    <w:rsid w:val="0063019F"/>
    <w:rsid w:val="0063517A"/>
    <w:rsid w:val="0064458E"/>
    <w:rsid w:val="00644BDC"/>
    <w:rsid w:val="0064574F"/>
    <w:rsid w:val="006465C5"/>
    <w:rsid w:val="00654846"/>
    <w:rsid w:val="006577D7"/>
    <w:rsid w:val="00660F73"/>
    <w:rsid w:val="0066317C"/>
    <w:rsid w:val="006639C7"/>
    <w:rsid w:val="00667D54"/>
    <w:rsid w:val="00675E10"/>
    <w:rsid w:val="00685808"/>
    <w:rsid w:val="00695A6D"/>
    <w:rsid w:val="00697F28"/>
    <w:rsid w:val="006A3A6B"/>
    <w:rsid w:val="006A50BC"/>
    <w:rsid w:val="006B1D63"/>
    <w:rsid w:val="006B60DD"/>
    <w:rsid w:val="006C5A7D"/>
    <w:rsid w:val="006D3AD0"/>
    <w:rsid w:val="006D7744"/>
    <w:rsid w:val="006E3B26"/>
    <w:rsid w:val="006E5C27"/>
    <w:rsid w:val="006F336C"/>
    <w:rsid w:val="006F4CE9"/>
    <w:rsid w:val="007017B0"/>
    <w:rsid w:val="0070218E"/>
    <w:rsid w:val="007065A1"/>
    <w:rsid w:val="007135EE"/>
    <w:rsid w:val="007150E1"/>
    <w:rsid w:val="00722B80"/>
    <w:rsid w:val="0074468A"/>
    <w:rsid w:val="00757661"/>
    <w:rsid w:val="00760E2D"/>
    <w:rsid w:val="00774A2B"/>
    <w:rsid w:val="007755F6"/>
    <w:rsid w:val="00780CCE"/>
    <w:rsid w:val="007862BD"/>
    <w:rsid w:val="007870BA"/>
    <w:rsid w:val="00793514"/>
    <w:rsid w:val="00795394"/>
    <w:rsid w:val="00797252"/>
    <w:rsid w:val="007977D0"/>
    <w:rsid w:val="007A040E"/>
    <w:rsid w:val="007A2C34"/>
    <w:rsid w:val="007A7335"/>
    <w:rsid w:val="007B455D"/>
    <w:rsid w:val="007C3596"/>
    <w:rsid w:val="007C479E"/>
    <w:rsid w:val="007C534A"/>
    <w:rsid w:val="007E128E"/>
    <w:rsid w:val="007E2299"/>
    <w:rsid w:val="007E4176"/>
    <w:rsid w:val="007F16BD"/>
    <w:rsid w:val="007F2F12"/>
    <w:rsid w:val="007F63B9"/>
    <w:rsid w:val="007F6E51"/>
    <w:rsid w:val="00801B02"/>
    <w:rsid w:val="00812FF0"/>
    <w:rsid w:val="008157CF"/>
    <w:rsid w:val="00820D75"/>
    <w:rsid w:val="00821688"/>
    <w:rsid w:val="008219AB"/>
    <w:rsid w:val="0082467E"/>
    <w:rsid w:val="008271F6"/>
    <w:rsid w:val="00832281"/>
    <w:rsid w:val="00832A42"/>
    <w:rsid w:val="0083319A"/>
    <w:rsid w:val="00833649"/>
    <w:rsid w:val="00843FB3"/>
    <w:rsid w:val="0086294F"/>
    <w:rsid w:val="008642DB"/>
    <w:rsid w:val="00864F61"/>
    <w:rsid w:val="008667F9"/>
    <w:rsid w:val="008714D7"/>
    <w:rsid w:val="00875906"/>
    <w:rsid w:val="00883771"/>
    <w:rsid w:val="00886D9E"/>
    <w:rsid w:val="0089089A"/>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F58B8"/>
    <w:rsid w:val="008F6B36"/>
    <w:rsid w:val="009008DD"/>
    <w:rsid w:val="009024B4"/>
    <w:rsid w:val="0090334E"/>
    <w:rsid w:val="009037AF"/>
    <w:rsid w:val="0090427C"/>
    <w:rsid w:val="00910237"/>
    <w:rsid w:val="00912B18"/>
    <w:rsid w:val="00913DE9"/>
    <w:rsid w:val="00920535"/>
    <w:rsid w:val="00922A6D"/>
    <w:rsid w:val="009242EA"/>
    <w:rsid w:val="00925E5C"/>
    <w:rsid w:val="00927A0D"/>
    <w:rsid w:val="00927EF0"/>
    <w:rsid w:val="00933C83"/>
    <w:rsid w:val="00936542"/>
    <w:rsid w:val="00937943"/>
    <w:rsid w:val="00940447"/>
    <w:rsid w:val="009408A6"/>
    <w:rsid w:val="00941C32"/>
    <w:rsid w:val="00944330"/>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CE8"/>
    <w:rsid w:val="009C6F42"/>
    <w:rsid w:val="009E1F25"/>
    <w:rsid w:val="009E2A70"/>
    <w:rsid w:val="009E489B"/>
    <w:rsid w:val="009F3168"/>
    <w:rsid w:val="009F3454"/>
    <w:rsid w:val="009F4440"/>
    <w:rsid w:val="00A0246B"/>
    <w:rsid w:val="00A03908"/>
    <w:rsid w:val="00A05724"/>
    <w:rsid w:val="00A11C23"/>
    <w:rsid w:val="00A17D94"/>
    <w:rsid w:val="00A23BA0"/>
    <w:rsid w:val="00A24F93"/>
    <w:rsid w:val="00A314FA"/>
    <w:rsid w:val="00A3799B"/>
    <w:rsid w:val="00A413D5"/>
    <w:rsid w:val="00A47BAD"/>
    <w:rsid w:val="00A47D5F"/>
    <w:rsid w:val="00A52BEC"/>
    <w:rsid w:val="00A57777"/>
    <w:rsid w:val="00A57E0F"/>
    <w:rsid w:val="00A82F6F"/>
    <w:rsid w:val="00A862A4"/>
    <w:rsid w:val="00A92BA2"/>
    <w:rsid w:val="00A9360E"/>
    <w:rsid w:val="00A973D9"/>
    <w:rsid w:val="00AA1C3B"/>
    <w:rsid w:val="00AA20DC"/>
    <w:rsid w:val="00AA2435"/>
    <w:rsid w:val="00AA49B9"/>
    <w:rsid w:val="00AB6124"/>
    <w:rsid w:val="00AB7A77"/>
    <w:rsid w:val="00AC560D"/>
    <w:rsid w:val="00AD19E4"/>
    <w:rsid w:val="00AD319B"/>
    <w:rsid w:val="00AD3673"/>
    <w:rsid w:val="00AD4A48"/>
    <w:rsid w:val="00AE0C03"/>
    <w:rsid w:val="00AE40E2"/>
    <w:rsid w:val="00AE4928"/>
    <w:rsid w:val="00AF4CC5"/>
    <w:rsid w:val="00B02CB3"/>
    <w:rsid w:val="00B04E9C"/>
    <w:rsid w:val="00B102F7"/>
    <w:rsid w:val="00B11BE8"/>
    <w:rsid w:val="00B1354A"/>
    <w:rsid w:val="00B33726"/>
    <w:rsid w:val="00B34CB8"/>
    <w:rsid w:val="00B43413"/>
    <w:rsid w:val="00B51F07"/>
    <w:rsid w:val="00B55AA9"/>
    <w:rsid w:val="00B605B3"/>
    <w:rsid w:val="00B6409D"/>
    <w:rsid w:val="00B65A78"/>
    <w:rsid w:val="00B70EED"/>
    <w:rsid w:val="00B7209C"/>
    <w:rsid w:val="00B754FE"/>
    <w:rsid w:val="00B75D21"/>
    <w:rsid w:val="00B82AFD"/>
    <w:rsid w:val="00B82F44"/>
    <w:rsid w:val="00B854DA"/>
    <w:rsid w:val="00B901A9"/>
    <w:rsid w:val="00B94BF6"/>
    <w:rsid w:val="00BA5910"/>
    <w:rsid w:val="00BB3CE8"/>
    <w:rsid w:val="00BB43FD"/>
    <w:rsid w:val="00BC3ED9"/>
    <w:rsid w:val="00BC5032"/>
    <w:rsid w:val="00BD0579"/>
    <w:rsid w:val="00BD1D69"/>
    <w:rsid w:val="00BE7E71"/>
    <w:rsid w:val="00BF06EC"/>
    <w:rsid w:val="00BF09D3"/>
    <w:rsid w:val="00BF5744"/>
    <w:rsid w:val="00BF5A88"/>
    <w:rsid w:val="00C00519"/>
    <w:rsid w:val="00C014A9"/>
    <w:rsid w:val="00C02420"/>
    <w:rsid w:val="00C04971"/>
    <w:rsid w:val="00C0615F"/>
    <w:rsid w:val="00C10CCD"/>
    <w:rsid w:val="00C10FB4"/>
    <w:rsid w:val="00C15A97"/>
    <w:rsid w:val="00C16757"/>
    <w:rsid w:val="00C17A11"/>
    <w:rsid w:val="00C25BD9"/>
    <w:rsid w:val="00C41104"/>
    <w:rsid w:val="00C41134"/>
    <w:rsid w:val="00C42CAD"/>
    <w:rsid w:val="00C4400E"/>
    <w:rsid w:val="00C46B9E"/>
    <w:rsid w:val="00C527C3"/>
    <w:rsid w:val="00C552DE"/>
    <w:rsid w:val="00C55BAE"/>
    <w:rsid w:val="00C609C2"/>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F0F17"/>
    <w:rsid w:val="00CF2384"/>
    <w:rsid w:val="00CF2DBD"/>
    <w:rsid w:val="00CF37B7"/>
    <w:rsid w:val="00CF7C33"/>
    <w:rsid w:val="00D15049"/>
    <w:rsid w:val="00D17EF8"/>
    <w:rsid w:val="00D318BB"/>
    <w:rsid w:val="00D31E05"/>
    <w:rsid w:val="00D35E4B"/>
    <w:rsid w:val="00D42313"/>
    <w:rsid w:val="00D45220"/>
    <w:rsid w:val="00D51EF8"/>
    <w:rsid w:val="00D532DF"/>
    <w:rsid w:val="00D550EA"/>
    <w:rsid w:val="00D5683A"/>
    <w:rsid w:val="00D6075F"/>
    <w:rsid w:val="00D64A8A"/>
    <w:rsid w:val="00D64ACA"/>
    <w:rsid w:val="00D74A8F"/>
    <w:rsid w:val="00D8155F"/>
    <w:rsid w:val="00D83830"/>
    <w:rsid w:val="00D8408A"/>
    <w:rsid w:val="00D85984"/>
    <w:rsid w:val="00D92897"/>
    <w:rsid w:val="00D9374F"/>
    <w:rsid w:val="00D96664"/>
    <w:rsid w:val="00D9771C"/>
    <w:rsid w:val="00D97BF8"/>
    <w:rsid w:val="00DA399C"/>
    <w:rsid w:val="00DA5E85"/>
    <w:rsid w:val="00DB01F6"/>
    <w:rsid w:val="00DB1B72"/>
    <w:rsid w:val="00DD18B8"/>
    <w:rsid w:val="00DD3ECB"/>
    <w:rsid w:val="00DD5BF9"/>
    <w:rsid w:val="00DD760C"/>
    <w:rsid w:val="00DE0FB7"/>
    <w:rsid w:val="00DE3DD6"/>
    <w:rsid w:val="00DE517B"/>
    <w:rsid w:val="00DE52F2"/>
    <w:rsid w:val="00DE5A5D"/>
    <w:rsid w:val="00DF072F"/>
    <w:rsid w:val="00DF0B84"/>
    <w:rsid w:val="00DF255F"/>
    <w:rsid w:val="00DF4C21"/>
    <w:rsid w:val="00E07E81"/>
    <w:rsid w:val="00E10E84"/>
    <w:rsid w:val="00E1125C"/>
    <w:rsid w:val="00E16D83"/>
    <w:rsid w:val="00E267AB"/>
    <w:rsid w:val="00E30C2C"/>
    <w:rsid w:val="00E311DC"/>
    <w:rsid w:val="00E31752"/>
    <w:rsid w:val="00E3534A"/>
    <w:rsid w:val="00E4082C"/>
    <w:rsid w:val="00E4444A"/>
    <w:rsid w:val="00E576B4"/>
    <w:rsid w:val="00E64091"/>
    <w:rsid w:val="00E66470"/>
    <w:rsid w:val="00E67C64"/>
    <w:rsid w:val="00E71BDF"/>
    <w:rsid w:val="00E8267C"/>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53"/>
    <w:rsid w:val="00EF2D9E"/>
    <w:rsid w:val="00EF30B1"/>
    <w:rsid w:val="00EF3BC8"/>
    <w:rsid w:val="00EF7F7D"/>
    <w:rsid w:val="00F003DC"/>
    <w:rsid w:val="00F012AB"/>
    <w:rsid w:val="00F023FE"/>
    <w:rsid w:val="00F06E3E"/>
    <w:rsid w:val="00F07308"/>
    <w:rsid w:val="00F0773C"/>
    <w:rsid w:val="00F10ABD"/>
    <w:rsid w:val="00F1558B"/>
    <w:rsid w:val="00F15B84"/>
    <w:rsid w:val="00F16CBD"/>
    <w:rsid w:val="00F17078"/>
    <w:rsid w:val="00F21394"/>
    <w:rsid w:val="00F33F66"/>
    <w:rsid w:val="00F372CE"/>
    <w:rsid w:val="00F4233A"/>
    <w:rsid w:val="00F42B22"/>
    <w:rsid w:val="00F43272"/>
    <w:rsid w:val="00F50B67"/>
    <w:rsid w:val="00F52831"/>
    <w:rsid w:val="00F53B73"/>
    <w:rsid w:val="00F53D3E"/>
    <w:rsid w:val="00F56C3E"/>
    <w:rsid w:val="00F60C95"/>
    <w:rsid w:val="00F61714"/>
    <w:rsid w:val="00F7015E"/>
    <w:rsid w:val="00F7297C"/>
    <w:rsid w:val="00F777FA"/>
    <w:rsid w:val="00F828AE"/>
    <w:rsid w:val="00F8540B"/>
    <w:rsid w:val="00F85ED6"/>
    <w:rsid w:val="00F91098"/>
    <w:rsid w:val="00F9398C"/>
    <w:rsid w:val="00F9535D"/>
    <w:rsid w:val="00F97BF7"/>
    <w:rsid w:val="00FA0D68"/>
    <w:rsid w:val="00FA2710"/>
    <w:rsid w:val="00FA5090"/>
    <w:rsid w:val="00FA7F61"/>
    <w:rsid w:val="00FB554A"/>
    <w:rsid w:val="00FB588A"/>
    <w:rsid w:val="00FC0694"/>
    <w:rsid w:val="00FC6F29"/>
    <w:rsid w:val="00FD1341"/>
    <w:rsid w:val="00FE363C"/>
    <w:rsid w:val="00FE3AE2"/>
    <w:rsid w:val="00FF1E9C"/>
    <w:rsid w:val="00FF4D6C"/>
    <w:rsid w:val="00FF5455"/>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3129</Words>
  <Characters>17163</Characters>
  <Application>Microsoft Office Word</Application>
  <DocSecurity>0</DocSecurity>
  <Lines>372</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20334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2013-06-09T20:38:00Z</cp:lastPrinted>
  <dcterms:created xsi:type="dcterms:W3CDTF">2013-06-09T20:40:00Z</dcterms:created>
  <dcterms:modified xsi:type="dcterms:W3CDTF">2013-06-09T20:40:00Z</dcterms:modified>
  <cp:category> </cp:category>
  <cp:contentStatus> </cp:contentStatus>
</cp:coreProperties>
</file>