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B102F7">
        <w:t xml:space="preserve"> April</w:t>
      </w:r>
      <w:r w:rsidR="00FA0D68">
        <w:t xml:space="preserve"> 2013</w:t>
      </w:r>
    </w:p>
    <w:p w:rsidR="00D9771C" w:rsidRDefault="00D9771C" w:rsidP="00F9535D">
      <w:pPr>
        <w:pStyle w:val="BlockText"/>
      </w:pPr>
    </w:p>
    <w:p w:rsidR="00013164" w:rsidRDefault="009F4440" w:rsidP="00D9771C">
      <w:pPr>
        <w:pStyle w:val="BlockText"/>
        <w:rPr>
          <w:b/>
          <w:u w:val="single"/>
        </w:rPr>
      </w:pPr>
      <w:r>
        <w:rPr>
          <w:b/>
          <w:u w:val="single"/>
        </w:rPr>
        <w:t xml:space="preserve">State </w:t>
      </w:r>
      <w:r w:rsidR="00D9771C" w:rsidRPr="00D9771C">
        <w:rPr>
          <w:b/>
          <w:u w:val="single"/>
        </w:rPr>
        <w:t>Appellate Decisions:</w:t>
      </w:r>
    </w:p>
    <w:p w:rsidR="002A777F" w:rsidRDefault="002A777F" w:rsidP="00D9771C">
      <w:pPr>
        <w:pStyle w:val="BlockText"/>
        <w:rPr>
          <w:b/>
          <w:u w:val="single"/>
        </w:rPr>
      </w:pPr>
    </w:p>
    <w:p w:rsidR="002A777F" w:rsidRPr="002A777F" w:rsidRDefault="002A777F" w:rsidP="00D9771C">
      <w:pPr>
        <w:pStyle w:val="BlockText"/>
      </w:pPr>
      <w:r>
        <w:tab/>
      </w:r>
      <w:r w:rsidRPr="002A777F">
        <w:rPr>
          <w:i/>
          <w:u w:val="single"/>
        </w:rPr>
        <w:t>Marble Unlimited, Inc. v. Weston Real Estate Investment Corporation</w:t>
      </w:r>
      <w:r>
        <w:rPr>
          <w:i/>
        </w:rPr>
        <w:t xml:space="preserve">, </w:t>
      </w:r>
      <w:r>
        <w:t xml:space="preserve">38 Fla. L. Weekly D686b, Case No. 4D11-3113, issued March 27, 2013: Dismissal of contractor's foreclosure of construction lien for failure to served a notice to owner was </w:t>
      </w:r>
      <w:r w:rsidR="008F6B36" w:rsidRPr="008F6B36">
        <w:rPr>
          <w:b/>
        </w:rPr>
        <w:t>reversed</w:t>
      </w:r>
      <w:r w:rsidR="008F6B36">
        <w:t xml:space="preserve"> due to the common identity of the corporate owner (following a transfer of title from one related entity to another) based on </w:t>
      </w:r>
      <w:r w:rsidR="008F6B36" w:rsidRPr="008F6B36">
        <w:rPr>
          <w:i/>
          <w:u w:val="single"/>
        </w:rPr>
        <w:t>Aetna Cas. &amp; Sur. Co. v. Buck</w:t>
      </w:r>
      <w:r w:rsidR="008F6B36">
        <w:t xml:space="preserve">, 594 So. 2d 280 (Fla. 1992). </w:t>
      </w:r>
    </w:p>
    <w:p w:rsidR="002A777F" w:rsidRDefault="002A777F" w:rsidP="00797252">
      <w:pPr>
        <w:pStyle w:val="BlockText"/>
      </w:pPr>
    </w:p>
    <w:p w:rsidR="008F6B36" w:rsidRDefault="008F6B36" w:rsidP="00797252">
      <w:pPr>
        <w:pStyle w:val="BlockText"/>
      </w:pPr>
      <w:r>
        <w:tab/>
      </w:r>
      <w:r w:rsidRPr="008F6B36">
        <w:rPr>
          <w:i/>
          <w:u w:val="single"/>
        </w:rPr>
        <w:t>Plantation Key Office Park, LLLP et. al. v. Pass International, Inc., et. al</w:t>
      </w:r>
      <w:r>
        <w:rPr>
          <w:i/>
        </w:rPr>
        <w:t xml:space="preserve">., </w:t>
      </w:r>
      <w:r>
        <w:t xml:space="preserve">38 Fla. L. Weekly D736a, Case No. </w:t>
      </w:r>
      <w:r w:rsidR="00B33726">
        <w:t xml:space="preserve">4D12-169 and 4D12-199, issued April 3, 2013: Following a fire during construction, owner sued contractor and subcontractors for reformation (as well as breach of contract, negligence and statutory violations). On the issue of reformation, the trial court granted summary judgment against owner on the issue of whether A201 (the general conditions that prohibit consequential damages) was incorporated in the A111 contract signed by the parties. Based on conflicting testimony of the parties on this issue, the summary judgment was </w:t>
      </w:r>
      <w:r w:rsidR="00B33726" w:rsidRPr="00B33726">
        <w:rPr>
          <w:i/>
        </w:rPr>
        <w:t>reversed</w:t>
      </w:r>
      <w:r w:rsidR="00B33726">
        <w:t xml:space="preserve"> based on the trial court's inability to determine credibility of the witnesses at that point. Citing its own decision in the analogous case of </w:t>
      </w:r>
      <w:r w:rsidR="00B33726" w:rsidRPr="00B33726">
        <w:rPr>
          <w:i/>
          <w:u w:val="single"/>
        </w:rPr>
        <w:t>Resort of Indian Spring, Inc., v. Indian Spring County Club, Inc.,</w:t>
      </w:r>
      <w:r w:rsidR="00B33726">
        <w:t xml:space="preserve"> 747 So. 2d 974 (Fla. 4</w:t>
      </w:r>
      <w:r w:rsidR="00B33726" w:rsidRPr="00B33726">
        <w:rPr>
          <w:vertAlign w:val="superscript"/>
        </w:rPr>
        <w:t>th</w:t>
      </w:r>
      <w:r w:rsidR="00B33726">
        <w:t xml:space="preserve"> DCA 1999), the appellate court found the summary judgment to be improper.</w:t>
      </w:r>
    </w:p>
    <w:p w:rsidR="00910237" w:rsidRDefault="00910237" w:rsidP="00797252">
      <w:pPr>
        <w:pStyle w:val="BlockText"/>
      </w:pPr>
    </w:p>
    <w:p w:rsidR="00910237" w:rsidRDefault="00910237" w:rsidP="00797252">
      <w:pPr>
        <w:pStyle w:val="BlockText"/>
      </w:pPr>
      <w:r>
        <w:tab/>
      </w:r>
      <w:r>
        <w:rPr>
          <w:i/>
          <w:u w:val="single"/>
        </w:rPr>
        <w:t xml:space="preserve">Charlyn Bradshaw and </w:t>
      </w:r>
      <w:r w:rsidR="00995739">
        <w:rPr>
          <w:i/>
          <w:u w:val="single"/>
        </w:rPr>
        <w:t>Kenneth</w:t>
      </w:r>
      <w:r>
        <w:rPr>
          <w:i/>
          <w:u w:val="single"/>
        </w:rPr>
        <w:t xml:space="preserve"> Bradshaw, her husband v. Boynton-JCP Associates, LTD, d/b/a Boynton Beach Mall and Simon Property Group, Inc.,</w:t>
      </w:r>
      <w:r>
        <w:t xml:space="preserve"> 38 Fla. L. Weekly D823a, Case No. 4D11-4242, issued April 10, 2013: A final judgment awarding attorney's fees pursuant to an offer of judgment  pursuant to s. 768.79, Fla. Statutes (2007) and Fla. R. Civ. P. 1.442, was reversed because it was "apostrophe-challenged" and, thus, ambiguous. Citing </w:t>
      </w:r>
      <w:r w:rsidRPr="00910237">
        <w:rPr>
          <w:i/>
          <w:u w:val="single"/>
        </w:rPr>
        <w:t>State Farm Mut. Auto. Ins. Co. v. Nichols</w:t>
      </w:r>
      <w:r>
        <w:t>, 932 So. 2d 1067 (Fla. 2006), the appellate court stated that the issue is not whether it is "fair or logical to apply the requirements" of the rule, the offer must be sufficiently clear to allow the offeree to make a decision without clarification.</w:t>
      </w:r>
    </w:p>
    <w:p w:rsidR="00910237" w:rsidRDefault="00910237" w:rsidP="00797252">
      <w:pPr>
        <w:pStyle w:val="BlockText"/>
      </w:pPr>
    </w:p>
    <w:p w:rsidR="00910237" w:rsidRDefault="00910237" w:rsidP="00797252">
      <w:pPr>
        <w:pStyle w:val="BlockText"/>
      </w:pPr>
      <w:r>
        <w:tab/>
      </w:r>
      <w:r w:rsidR="005665C2">
        <w:rPr>
          <w:i/>
          <w:u w:val="single"/>
        </w:rPr>
        <w:t xml:space="preserve">McKenzie Check Advance of </w:t>
      </w:r>
      <w:r w:rsidR="00995739">
        <w:rPr>
          <w:i/>
          <w:u w:val="single"/>
        </w:rPr>
        <w:t>Florida, LLC</w:t>
      </w:r>
      <w:r w:rsidR="005665C2">
        <w:rPr>
          <w:i/>
          <w:u w:val="single"/>
        </w:rPr>
        <w:t>, et. al. v. Wendy Betts, et. al.</w:t>
      </w:r>
      <w:r w:rsidR="005665C2">
        <w:t>, 38 Fla. L. Weekly, Supreme Court of Florida Case No. SC11-514, issued on Apri</w:t>
      </w:r>
      <w:r w:rsidR="00EA4F51">
        <w:t xml:space="preserve">l 11, 2013: The appellate court's </w:t>
      </w:r>
      <w:r w:rsidR="005665C2">
        <w:t xml:space="preserve">decision in </w:t>
      </w:r>
      <w:r w:rsidR="005665C2" w:rsidRPr="005665C2">
        <w:rPr>
          <w:i/>
          <w:u w:val="single"/>
        </w:rPr>
        <w:t>McKenzie v. Betts</w:t>
      </w:r>
      <w:r w:rsidR="005665C2">
        <w:t>, 55 So. 3d 615 (Fla. 4</w:t>
      </w:r>
      <w:r w:rsidR="005665C2" w:rsidRPr="005665C2">
        <w:rPr>
          <w:vertAlign w:val="superscript"/>
        </w:rPr>
        <w:t>th</w:t>
      </w:r>
      <w:r w:rsidR="005665C2">
        <w:t xml:space="preserve"> DCA 2011), finding that</w:t>
      </w:r>
      <w:r w:rsidR="00EA4F51">
        <w:t xml:space="preserve"> in a FDUPTA claim, </w:t>
      </w:r>
      <w:r w:rsidR="005665C2">
        <w:t xml:space="preserve"> a class-action waiver in an arbitration agreement violated public policy, was</w:t>
      </w:r>
      <w:r w:rsidR="00EA4F51">
        <w:t xml:space="preserve"> unanimously</w:t>
      </w:r>
      <w:r w:rsidR="005665C2">
        <w:t xml:space="preserve"> </w:t>
      </w:r>
      <w:r w:rsidR="005665C2" w:rsidRPr="005665C2">
        <w:rPr>
          <w:b/>
        </w:rPr>
        <w:t>quashed</w:t>
      </w:r>
      <w:r w:rsidR="005665C2">
        <w:t xml:space="preserve"> based on the U. S. Supreme Court's intervening holding in </w:t>
      </w:r>
      <w:r w:rsidR="005665C2" w:rsidRPr="005665C2">
        <w:rPr>
          <w:i/>
          <w:u w:val="single"/>
        </w:rPr>
        <w:t>AT&amp;T Mobility, LLC v. Concepcion</w:t>
      </w:r>
      <w:r w:rsidR="005665C2">
        <w:t xml:space="preserve">, 131 S. Ct. 1740 (2011) that such waivers were </w:t>
      </w:r>
      <w:r w:rsidR="005665C2" w:rsidRPr="00EA4F51">
        <w:rPr>
          <w:u w:val="single"/>
        </w:rPr>
        <w:t>preempted</w:t>
      </w:r>
      <w:r w:rsidR="005665C2">
        <w:t xml:space="preserve"> by the Federal Arbitration Act.</w:t>
      </w:r>
    </w:p>
    <w:p w:rsidR="00EA4F51" w:rsidRDefault="00EA4F51" w:rsidP="00797252">
      <w:pPr>
        <w:pStyle w:val="BlockText"/>
      </w:pPr>
    </w:p>
    <w:p w:rsidR="00EA4F51" w:rsidRDefault="00EA4F51" w:rsidP="00797252">
      <w:pPr>
        <w:pStyle w:val="BlockText"/>
      </w:pPr>
      <w:r>
        <w:tab/>
      </w:r>
      <w:r>
        <w:rPr>
          <w:i/>
          <w:u w:val="single"/>
        </w:rPr>
        <w:t xml:space="preserve">Barry Berk, et. al., v. Honey Berk, </w:t>
      </w:r>
      <w:r>
        <w:t xml:space="preserve">38 Fla. L. Weekly D867a, Case NO. 3D12-3216, issued April 17, 2013: The probate division order denying motion to dismiss and compel arbitration based on similar pending actions between the parties, was </w:t>
      </w:r>
      <w:r w:rsidRPr="00EA4F51">
        <w:rPr>
          <w:b/>
        </w:rPr>
        <w:t>reversed and remanded</w:t>
      </w:r>
      <w:r>
        <w:t xml:space="preserve"> based on an Operation Agreement</w:t>
      </w:r>
      <w:r w:rsidR="001437FC">
        <w:t xml:space="preserve"> containing an arbitration provision where there was no evidence of a waiver of that provision.</w:t>
      </w:r>
    </w:p>
    <w:p w:rsidR="001437FC" w:rsidRDefault="001437FC" w:rsidP="00797252">
      <w:pPr>
        <w:pStyle w:val="BlockText"/>
      </w:pPr>
    </w:p>
    <w:p w:rsidR="002A777F" w:rsidRDefault="001437FC" w:rsidP="00797252">
      <w:pPr>
        <w:pStyle w:val="BlockText"/>
      </w:pPr>
      <w:r>
        <w:lastRenderedPageBreak/>
        <w:tab/>
      </w:r>
      <w:r>
        <w:rPr>
          <w:i/>
          <w:u w:val="single"/>
        </w:rPr>
        <w:t xml:space="preserve">Leonor Sarmiento Camperos v. Thomas Andres Vazquez Estrella, </w:t>
      </w:r>
      <w:r>
        <w:t xml:space="preserve">38 Fla. L. Weekly D855b, Case No. 3D12-1749, issued on April 17, 2013: A non-final order denying motion to dismissed based on </w:t>
      </w:r>
      <w:r w:rsidRPr="001437FC">
        <w:rPr>
          <w:i/>
        </w:rPr>
        <w:t>forum non conveniens</w:t>
      </w:r>
      <w:r>
        <w:t xml:space="preserve"> was </w:t>
      </w:r>
      <w:r w:rsidRPr="001437FC">
        <w:rPr>
          <w:b/>
        </w:rPr>
        <w:t>reversed and remanded</w:t>
      </w:r>
      <w:r>
        <w:t xml:space="preserve"> for failure of the trial court to articulate the </w:t>
      </w:r>
      <w:r w:rsidRPr="001437FC">
        <w:rPr>
          <w:i/>
        </w:rPr>
        <w:t>Kinney</w:t>
      </w:r>
      <w:r>
        <w:t xml:space="preserve"> factors during the hearing. See: </w:t>
      </w:r>
      <w:r w:rsidRPr="001437FC">
        <w:rPr>
          <w:i/>
          <w:u w:val="single"/>
        </w:rPr>
        <w:t>Kinney Sys., Inc. v. Cont'l Ins. Co.,</w:t>
      </w:r>
      <w:r>
        <w:t xml:space="preserve"> 674 So. 2d 86 (Fla. 1996), now codified in Fla. R. Civ. P. 1.061.</w:t>
      </w:r>
      <w:r w:rsidR="002A777F">
        <w:tab/>
      </w:r>
    </w:p>
    <w:p w:rsidR="001437FC" w:rsidRDefault="001437FC" w:rsidP="00797252">
      <w:pPr>
        <w:pStyle w:val="BlockText"/>
      </w:pPr>
    </w:p>
    <w:p w:rsidR="00BF09D3" w:rsidRPr="008E212F" w:rsidRDefault="001437FC" w:rsidP="001437FC">
      <w:pPr>
        <w:pStyle w:val="BlockText"/>
        <w:ind w:firstLine="720"/>
      </w:pPr>
      <w:r w:rsidRPr="004C7846">
        <w:rPr>
          <w:i/>
          <w:u w:val="single"/>
        </w:rPr>
        <w:t>Mike Cobb v. David Durando and Jane Duran</w:t>
      </w:r>
      <w:r>
        <w:rPr>
          <w:i/>
          <w:u w:val="single"/>
        </w:rPr>
        <w:t>d</w:t>
      </w:r>
      <w:r w:rsidRPr="004C7846">
        <w:rPr>
          <w:i/>
          <w:u w:val="single"/>
        </w:rPr>
        <w:t>o, husban</w:t>
      </w:r>
      <w:r>
        <w:rPr>
          <w:i/>
          <w:u w:val="single"/>
        </w:rPr>
        <w:t>d and wife,</w:t>
      </w:r>
      <w:r w:rsidRPr="004C7846">
        <w:rPr>
          <w:i/>
          <w:u w:val="single"/>
        </w:rPr>
        <w:t xml:space="preserve"> </w:t>
      </w:r>
      <w:r>
        <w:t xml:space="preserve">38 Fla. L. Weekly D847a, Case No. 2D12-1991, issued April 17, 2013: After prevailing in a bench trial against their roofing contractor for breach of contract, the homeowners sought attorney fees pursuant to section 768.79 based on a single demand for judgment. The award of fees was </w:t>
      </w:r>
      <w:r w:rsidRPr="008F6B36">
        <w:rPr>
          <w:b/>
        </w:rPr>
        <w:t>reversed</w:t>
      </w:r>
      <w:r>
        <w:t xml:space="preserve"> based on the requirements of Rule 1.442, FRCP, because the demand for judgment failed to "state the amount…attributable to each party," as required by the rule. A dissent by Judge Alterbernd argued, in part, that only the husband had signed the roofing contract, and that application of the rule to a single cause of action which he could have brought in his name alone was "seems to have achieved form over substance."</w:t>
      </w:r>
    </w:p>
    <w:p w:rsidR="009024B4" w:rsidRPr="00530CD6" w:rsidRDefault="009024B4" w:rsidP="00D9771C">
      <w:pPr>
        <w:pStyle w:val="BlockText"/>
      </w:pP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2B09F1" w:rsidRDefault="002B09F1" w:rsidP="00D9771C">
      <w:pPr>
        <w:pStyle w:val="BlockText"/>
      </w:pPr>
    </w:p>
    <w:p w:rsidR="002B09F1" w:rsidRDefault="002B09F1" w:rsidP="001437FC">
      <w:pPr>
        <w:pStyle w:val="BlockText"/>
        <w:ind w:firstLine="720"/>
      </w:pPr>
      <w:r w:rsidRPr="002B09F1">
        <w:rPr>
          <w:i/>
          <w:u w:val="single"/>
        </w:rPr>
        <w:t>Frank Cleaton, P. E. v. Florida Board of Professional Engineers</w:t>
      </w:r>
      <w:r>
        <w:t>, DOAH Case No 12-3640F: In an extensive (51 pages) Final Order dated April 24, 2013, attorney fees and costs sought pursuant to s. 57.111, F. S. (2012) were denied. Although the licensee was found to be a "small business" and the "prevailing party" in an administrative disciplinary action that was dismissed by the agency after filing, and the fees were determined to be reasonable, the ALJ found that the board's Probable Cause Panel was "substantially justified" at the time probable cause was found, and that determination was made, in part, on the written opinion of an expert consultant to the board.</w:t>
      </w:r>
    </w:p>
    <w:p w:rsidR="002B09F1" w:rsidRDefault="002B09F1" w:rsidP="00D9771C">
      <w:pPr>
        <w:pStyle w:val="BlockText"/>
      </w:pPr>
      <w:r w:rsidRPr="002B09F1">
        <w:rPr>
          <w:u w:val="single"/>
        </w:rPr>
        <w:t>Editor's Note:</w:t>
      </w:r>
      <w:r>
        <w:t xml:space="preserve"> This case is still without the time for judicial review, and includes a constitutional issue for which an ALJ has no jurisdiction </w:t>
      </w:r>
      <w:r w:rsidR="002558FB">
        <w:t>to determine: whether</w:t>
      </w:r>
      <w:r>
        <w:t xml:space="preserve"> the statutory creation </w:t>
      </w:r>
      <w:r w:rsidR="002558FB">
        <w:t>of the Florida Engineering</w:t>
      </w:r>
      <w:r>
        <w:t xml:space="preserve"> Management Corporation is an unlawful delegation of legislative authority.</w:t>
      </w:r>
    </w:p>
    <w:p w:rsidR="002B09F1" w:rsidRDefault="002B09F1" w:rsidP="00D9771C">
      <w:pPr>
        <w:pStyle w:val="BlockText"/>
      </w:pPr>
    </w:p>
    <w:p w:rsidR="002B09F1" w:rsidRPr="002B09F1" w:rsidRDefault="002B09F1" w:rsidP="00D9771C">
      <w:pPr>
        <w:pStyle w:val="BlockText"/>
        <w:rPr>
          <w:b/>
          <w:u w:val="single"/>
        </w:rPr>
      </w:pPr>
      <w:r w:rsidRPr="002B09F1">
        <w:rPr>
          <w:b/>
          <w:u w:val="single"/>
        </w:rPr>
        <w:t>State Agency Actions:</w:t>
      </w:r>
    </w:p>
    <w:p w:rsidR="006A50B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0340FB" w:rsidRPr="000340FB" w:rsidRDefault="004E142A" w:rsidP="000340FB">
      <w:pPr>
        <w:pStyle w:val="BlockText"/>
        <w:numPr>
          <w:ilvl w:val="0"/>
          <w:numId w:val="32"/>
        </w:numPr>
        <w:rPr>
          <w:b/>
        </w:rPr>
      </w:pPr>
      <w:r w:rsidRPr="00936542">
        <w:rPr>
          <w:u w:val="single"/>
        </w:rPr>
        <w:t>Construction Industry Licensing Board</w:t>
      </w:r>
      <w:r>
        <w:t xml:space="preserve"> – Chapter 489, Part I, FS and Chapter 61G4 FAC: </w:t>
      </w:r>
    </w:p>
    <w:p w:rsidR="000340FB" w:rsidRDefault="000340FB" w:rsidP="000340FB">
      <w:pPr>
        <w:pStyle w:val="BlockText"/>
        <w:ind w:left="1080"/>
        <w:rPr>
          <w:b/>
        </w:rPr>
      </w:pPr>
    </w:p>
    <w:p w:rsidR="002558FB" w:rsidRPr="002558FB" w:rsidRDefault="00E1125C" w:rsidP="002558FB">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r w:rsidR="002558FB">
        <w:t xml:space="preserve"> Rule 61G4-18.001, effective March 31, 2013, will allow Division I licensees to certify plans and specifications upon compliance with the wind resistance provisions of the Florida Building Code for one and two family dwelling. </w:t>
      </w:r>
    </w:p>
    <w:p w:rsidR="000340FB" w:rsidRPr="000340FB" w:rsidRDefault="000340FB" w:rsidP="000340FB">
      <w:pPr>
        <w:pStyle w:val="BlockText"/>
        <w:ind w:left="1800"/>
        <w:rPr>
          <w:b/>
        </w:rPr>
      </w:pPr>
    </w:p>
    <w:p w:rsidR="002558FB" w:rsidRDefault="004E142A" w:rsidP="002558FB">
      <w:pPr>
        <w:pStyle w:val="BlockText"/>
        <w:numPr>
          <w:ilvl w:val="1"/>
          <w:numId w:val="32"/>
        </w:numPr>
      </w:pPr>
      <w:r>
        <w:t>This board has received or disposed of the following Petitions for Declaratory Statement (if any):</w:t>
      </w:r>
      <w:r w:rsidR="002558FB">
        <w:t xml:space="preserve"> None noticed.</w:t>
      </w:r>
    </w:p>
    <w:p w:rsidR="002558FB" w:rsidRDefault="002558FB" w:rsidP="002558FB">
      <w:pPr>
        <w:pStyle w:val="BlockText"/>
        <w:ind w:left="1800"/>
      </w:pPr>
    </w:p>
    <w:p w:rsidR="00795394" w:rsidRDefault="004E142A" w:rsidP="002558FB">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r w:rsidR="002558FB">
        <w:t>Order filed on April 9, 2013</w:t>
      </w:r>
      <w:r w:rsidR="000340FB">
        <w:t xml:space="preserve">, 2013, granting a petition from </w:t>
      </w:r>
      <w:r w:rsidR="002558FB">
        <w:lastRenderedPageBreak/>
        <w:t>Andre Perez</w:t>
      </w:r>
      <w:r w:rsidR="008C23E6">
        <w:t xml:space="preserve"> seeking a permanent variance</w:t>
      </w:r>
      <w:r w:rsidR="002321A5">
        <w:t xml:space="preserve"> or </w:t>
      </w:r>
      <w:r w:rsidR="009242EA">
        <w:t>waiver from Rule 61G4-16.005 limiting the validity of a passing grade to a period of 4 years</w:t>
      </w:r>
      <w:r w:rsidR="002558FB">
        <w:t xml:space="preserve">, and from Rule 61G4-16.0015 for an exemption from taking the business and finance exam based on this inactive license. </w:t>
      </w:r>
      <w:r w:rsidR="002558FB" w:rsidRPr="002558FB">
        <w:rPr>
          <w:u w:val="single"/>
        </w:rPr>
        <w:t>Note:</w:t>
      </w:r>
      <w:r w:rsidR="002558FB">
        <w:t xml:space="preserve"> According to the published notice, this petition was subsequently withdrawn "for other reasons</w:t>
      </w:r>
      <w:r w:rsidR="000340FB">
        <w:t>.</w:t>
      </w:r>
      <w:r w:rsidR="002558FB">
        <w:t>"</w:t>
      </w:r>
    </w:p>
    <w:p w:rsidR="008C23E6" w:rsidRDefault="008C23E6" w:rsidP="008C23E6">
      <w:pPr>
        <w:pStyle w:val="BlockText"/>
        <w:ind w:left="2520"/>
      </w:pPr>
    </w:p>
    <w:p w:rsidR="00F07308" w:rsidRDefault="004E142A" w:rsidP="00F07308">
      <w:pPr>
        <w:pStyle w:val="BlockText"/>
        <w:numPr>
          <w:ilvl w:val="0"/>
          <w:numId w:val="32"/>
        </w:numPr>
      </w:pPr>
      <w:r w:rsidRPr="00F07308">
        <w:rPr>
          <w:u w:val="single"/>
        </w:rPr>
        <w:t>Electrical Contracting Licensing Board</w:t>
      </w:r>
      <w:r>
        <w:t xml:space="preserve"> (includes both electricians and alarm contractors) – Chapter 489, Part II, FS and 61G6, FAC: </w:t>
      </w:r>
      <w:r w:rsidR="002558FB">
        <w:t>None noticed.</w:t>
      </w:r>
    </w:p>
    <w:p w:rsidR="009E2A70" w:rsidRDefault="009E2A70" w:rsidP="009E2A70">
      <w:pPr>
        <w:pStyle w:val="BlockText"/>
        <w:ind w:left="1080"/>
      </w:pPr>
    </w:p>
    <w:p w:rsidR="004E142A" w:rsidRDefault="00E1125C" w:rsidP="00F07308">
      <w:pPr>
        <w:pStyle w:val="BlockText"/>
        <w:numPr>
          <w:ilvl w:val="1"/>
          <w:numId w:val="32"/>
        </w:numPr>
      </w:pPr>
      <w:r>
        <w:t>This board has proposed, adopted, repealed or amended the following rules (if any):</w:t>
      </w:r>
      <w:r w:rsidR="006221E1">
        <w:t xml:space="preserve"> </w:t>
      </w:r>
      <w:r w:rsidR="002558FB">
        <w:t>None noticed.</w:t>
      </w:r>
    </w:p>
    <w:p w:rsidR="000340FB" w:rsidRDefault="000340FB" w:rsidP="000340FB">
      <w:pPr>
        <w:pStyle w:val="BlockText"/>
        <w:ind w:left="1800"/>
      </w:pPr>
    </w:p>
    <w:p w:rsidR="004E142A" w:rsidRDefault="004E142A" w:rsidP="009E2A70">
      <w:pPr>
        <w:pStyle w:val="BlockText"/>
        <w:numPr>
          <w:ilvl w:val="1"/>
          <w:numId w:val="32"/>
        </w:numPr>
      </w:pPr>
      <w:r>
        <w:t xml:space="preserve">This board has received or disposed of the following Petitions for Declaratory Statement (if any): </w:t>
      </w:r>
      <w:r w:rsidR="006221E1">
        <w:t>None</w:t>
      </w:r>
      <w:r w:rsidR="002558FB">
        <w:t xml:space="preserve"> noticed</w:t>
      </w:r>
      <w:r w:rsidR="006221E1">
        <w:t>.</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A82F6F">
        <w:t xml:space="preserve">riance or Waiver (if any): </w:t>
      </w:r>
      <w:r w:rsidR="006221E1">
        <w:t>None</w:t>
      </w:r>
      <w:r w:rsidR="002558FB">
        <w:t xml:space="preserve"> noticed</w:t>
      </w:r>
      <w:r w:rsidR="006221E1">
        <w:t>.</w:t>
      </w:r>
    </w:p>
    <w:p w:rsidR="004E142A" w:rsidRDefault="004E142A" w:rsidP="004E142A">
      <w:pPr>
        <w:pStyle w:val="BlockText"/>
        <w:ind w:left="1800"/>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0340FB" w:rsidRDefault="00E1125C" w:rsidP="004E142A">
      <w:pPr>
        <w:pStyle w:val="BlockText"/>
        <w:numPr>
          <w:ilvl w:val="1"/>
          <w:numId w:val="32"/>
        </w:numPr>
      </w:pPr>
      <w:r>
        <w:t>This board has proposed, adopted, repealed or amended the following rules (if any</w:t>
      </w:r>
      <w:r w:rsidR="00920535">
        <w:t>): Rule 61G1-11.012 creating the Educational Advisory Board as to all applications for examination or licensure by endorsement.</w:t>
      </w:r>
    </w:p>
    <w:p w:rsidR="004E142A" w:rsidRDefault="004E142A" w:rsidP="000340FB">
      <w:pPr>
        <w:pStyle w:val="BlockText"/>
        <w:ind w:left="1800"/>
      </w:pPr>
      <w:r>
        <w:t xml:space="preserve"> </w:t>
      </w: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 xml:space="preserve">This board has received or disposed of the following Petitions for Variance or Waiver (if any): </w:t>
      </w:r>
      <w:r w:rsidR="002558FB">
        <w:t xml:space="preserve">On April 4, 2013 from Susan Pridgen as to Rule 61G1-22.002(1), </w:t>
      </w:r>
      <w:r w:rsidR="00920535">
        <w:t>setting forth the requirements for</w:t>
      </w:r>
      <w:r w:rsidR="002558FB">
        <w:t xml:space="preserve"> an applicant to obtain t</w:t>
      </w:r>
      <w:r w:rsidR="00920535">
        <w:t>he diversified interior design experience, and from Rule 61G1-22.001(1),requiring training and experience under specified direct supervision.</w:t>
      </w:r>
    </w:p>
    <w:p w:rsidR="004E142A" w:rsidRDefault="004E142A" w:rsidP="004E142A">
      <w:pPr>
        <w:pStyle w:val="BlockText"/>
        <w:ind w:left="1800"/>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0340F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6221E1">
        <w:t xml:space="preserve">: </w:t>
      </w:r>
      <w:r w:rsidR="00920535">
        <w:t>None noticed.</w:t>
      </w:r>
    </w:p>
    <w:p w:rsidR="000340FB" w:rsidRDefault="000340FB" w:rsidP="000340FB">
      <w:pPr>
        <w:pStyle w:val="BlockText"/>
        <w:ind w:left="1440"/>
      </w:pPr>
    </w:p>
    <w:p w:rsidR="004204AE" w:rsidRDefault="009E2A70" w:rsidP="004204AE">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4204AE" w:rsidRDefault="004204AE" w:rsidP="004204AE">
      <w:pPr>
        <w:pStyle w:val="BlockText"/>
        <w:ind w:left="1800"/>
      </w:pPr>
    </w:p>
    <w:p w:rsidR="009E2A70" w:rsidRDefault="009E2A70" w:rsidP="004204AE">
      <w:pPr>
        <w:pStyle w:val="BlockText"/>
        <w:numPr>
          <w:ilvl w:val="1"/>
          <w:numId w:val="32"/>
        </w:numPr>
      </w:pPr>
      <w:r>
        <w:t>This board has received or disposed of the following Petitions for Va</w:t>
      </w:r>
      <w:r w:rsidR="00920535">
        <w:t>riance or Waiver (if any): On April 4, 2013 from Armando Linares, P. E., Deputy Director, Broward County Environmental Protection &amp; Growth Management Department, as to Rule 61G15-23.003(3) requiring that part of an electronic seal process, a report be created, printed and manually signed, dated and sealed.</w:t>
      </w:r>
    </w:p>
    <w:p w:rsidR="004E142A" w:rsidRDefault="004E142A" w:rsidP="009E2A70">
      <w:pPr>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r w:rsidR="00920535">
        <w:t xml:space="preserve"> noticed</w:t>
      </w:r>
      <w:r w:rsidR="004204AE">
        <w:t>.</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r w:rsidR="004204AE">
        <w:t>None</w:t>
      </w:r>
      <w:r w:rsidR="00920535">
        <w:t xml:space="preserve"> noticed</w:t>
      </w:r>
      <w:r w:rsidR="004204AE">
        <w:t>.</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E1125C" w:rsidRDefault="00E1125C" w:rsidP="00920535">
      <w:pPr>
        <w:pStyle w:val="BlockText"/>
        <w:numPr>
          <w:ilvl w:val="1"/>
          <w:numId w:val="32"/>
        </w:numPr>
      </w:pPr>
      <w:r>
        <w:t>This board has proposed, adopted, repealed or amended the following rules (if any):</w:t>
      </w:r>
      <w:r w:rsidR="00920535">
        <w:t xml:space="preserve"> Rule 61G20-1.001</w:t>
      </w:r>
      <w:r w:rsidR="00886D9E">
        <w:t xml:space="preserve">, </w:t>
      </w:r>
      <w:r w:rsidR="00920535">
        <w:t>effectiv</w:t>
      </w:r>
      <w:r w:rsidR="00E64091">
        <w:t>e April 25, 2013, adopting the 2</w:t>
      </w:r>
      <w:r w:rsidR="00920535">
        <w:t xml:space="preserve">012 Supplement to the 2010 Florida Building Code </w:t>
      </w:r>
      <w:r w:rsidR="00E64091">
        <w:t>as the annual "glitch</w:t>
      </w:r>
      <w:r w:rsidR="00920535">
        <w:t>"</w:t>
      </w:r>
      <w:r w:rsidR="00E64091">
        <w:t xml:space="preserve"> amendments.</w:t>
      </w:r>
    </w:p>
    <w:p w:rsidR="00920535" w:rsidRDefault="00920535" w:rsidP="00920535">
      <w:pPr>
        <w:pStyle w:val="BlockText"/>
        <w:ind w:left="1800"/>
      </w:pPr>
    </w:p>
    <w:p w:rsidR="00E1125C" w:rsidRDefault="00E1125C" w:rsidP="00E1125C">
      <w:pPr>
        <w:pStyle w:val="BlockText"/>
        <w:numPr>
          <w:ilvl w:val="1"/>
          <w:numId w:val="32"/>
        </w:numPr>
      </w:pPr>
      <w:r>
        <w:t xml:space="preserve">This board has received or disposed of the following Petitions for Declaratory Statement (if any): </w:t>
      </w:r>
    </w:p>
    <w:p w:rsidR="00A82F6F" w:rsidRDefault="00A82F6F" w:rsidP="00491907">
      <w:pPr>
        <w:pStyle w:val="BlockText"/>
      </w:pPr>
    </w:p>
    <w:p w:rsidR="004E142A" w:rsidRDefault="00941C32" w:rsidP="00941C32">
      <w:pPr>
        <w:pStyle w:val="BlockText"/>
        <w:ind w:left="720"/>
      </w:pPr>
      <w:r>
        <w:t xml:space="preserve">8. </w:t>
      </w:r>
      <w:r w:rsidRPr="00941C32">
        <w:rPr>
          <w:u w:val="single"/>
        </w:rPr>
        <w:t>DBPR/Home Inspectors:</w:t>
      </w:r>
      <w:r>
        <w:t xml:space="preserve"> Rules 61-30.</w:t>
      </w:r>
      <w:r w:rsidR="000340FB">
        <w:t>102, .301, .302, .401, l.403 an</w:t>
      </w:r>
      <w:r>
        <w:t>d.501, have been notice for adoption</w:t>
      </w:r>
      <w:r w:rsidR="007870BA">
        <w:t>, but have not been filed as of the date of this report</w:t>
      </w:r>
      <w:r>
        <w:t xml:space="preserve">. </w:t>
      </w:r>
    </w:p>
    <w:p w:rsidR="000340FB" w:rsidRDefault="000340FB" w:rsidP="00941C32">
      <w:pPr>
        <w:pStyle w:val="BlockText"/>
        <w:ind w:left="720"/>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p>
    <w:p w:rsidR="00E64091" w:rsidRDefault="00E64091" w:rsidP="0094577A">
      <w:pPr>
        <w:pStyle w:val="BlockText"/>
        <w:ind w:left="720"/>
      </w:pPr>
    </w:p>
    <w:p w:rsidR="00427E2F" w:rsidRPr="0094577A" w:rsidRDefault="00427E2F" w:rsidP="0094577A">
      <w:pPr>
        <w:pStyle w:val="BlockText"/>
        <w:ind w:left="720"/>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July 1, 2013, will (unless vetoed) 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436BA2" w:rsidP="004E142A">
      <w:pPr>
        <w:pStyle w:val="BlockText"/>
        <w:ind w:left="720"/>
        <w:rPr>
          <w:b/>
        </w:rPr>
      </w:pPr>
      <w:r>
        <w:t xml:space="preserve">Note: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8157CF" w:rsidP="008F58B8">
      <w:pPr>
        <w:pStyle w:val="BlockText"/>
        <w:ind w:left="1080"/>
        <w:rPr>
          <w:b/>
          <w:i/>
          <w:u w:val="single"/>
        </w:rPr>
      </w:pPr>
      <w:r>
        <w:rPr>
          <w:b/>
          <w:i/>
          <w:u w:val="single"/>
        </w:rPr>
        <w:t>LEGISLATIVE</w:t>
      </w:r>
      <w:r w:rsidR="004E142A" w:rsidRPr="003C265E">
        <w:rPr>
          <w:b/>
          <w:i/>
          <w:u w:val="single"/>
        </w:rPr>
        <w:t xml:space="preserve"> UNDATE: Out-of-state applicants who do NOT have </w:t>
      </w:r>
      <w:r>
        <w:rPr>
          <w:b/>
          <w:i/>
          <w:u w:val="single"/>
        </w:rPr>
        <w:t>"</w:t>
      </w:r>
      <w:r w:rsidR="004E142A" w:rsidRPr="003C265E">
        <w:rPr>
          <w:b/>
          <w:i/>
          <w:u w:val="single"/>
        </w:rPr>
        <w:t>Florida</w:t>
      </w:r>
      <w:r>
        <w:rPr>
          <w:b/>
          <w:i/>
          <w:u w:val="single"/>
        </w:rPr>
        <w:t>"</w:t>
      </w:r>
      <w:r w:rsidR="004E142A" w:rsidRPr="003C265E">
        <w:rPr>
          <w:b/>
          <w:i/>
          <w:u w:val="single"/>
        </w:rPr>
        <w:t xml:space="preserve"> driver’s licen</w:t>
      </w:r>
      <w:r>
        <w:rPr>
          <w:b/>
          <w:i/>
          <w:u w:val="single"/>
        </w:rPr>
        <w:t>se or identification card have been required</w:t>
      </w:r>
      <w:r w:rsidR="004E142A" w:rsidRPr="003C265E">
        <w:rPr>
          <w:b/>
          <w:i/>
          <w:u w:val="single"/>
        </w:rPr>
        <w:t xml:space="preserve"> submit their applications in hard copy for processing. This is a “glitch” </w:t>
      </w:r>
      <w:r>
        <w:rPr>
          <w:b/>
          <w:i/>
          <w:u w:val="single"/>
        </w:rPr>
        <w:t>from the statutory changes in 2012, which has been corrected in Section 2 of House Bill 563, effective July 1, 2013, if not vetoed.</w:t>
      </w:r>
    </w:p>
    <w:p w:rsidR="004E142A" w:rsidRDefault="004E142A" w:rsidP="004E142A">
      <w:pPr>
        <w:pStyle w:val="BlockText"/>
        <w:ind w:left="720"/>
        <w:rPr>
          <w:b/>
        </w:rPr>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01260C" w:rsidRDefault="0001260C" w:rsidP="0001260C">
      <w:pPr>
        <w:pStyle w:val="BlockText"/>
        <w:ind w:left="360"/>
      </w:pPr>
      <w:r>
        <w:t>3. Office of State Fire Marshal - Chapter 633, Florida Statutes and Chapter 69A, F.C.A.: Rule 69A-60.003, amended effective May 1, 2013, adopts the NPR 1, the Fire Code, Florida 2009 edition (as amended 3/2013 to add Section 18.4.1.3 to Section 18.4 - Fire Flow Requirements for Buildings).</w:t>
      </w:r>
    </w:p>
    <w:p w:rsidR="0001260C" w:rsidRDefault="00757661" w:rsidP="00757661">
      <w:pPr>
        <w:pStyle w:val="BlockText"/>
        <w:ind w:left="360"/>
      </w:pPr>
      <w:r>
        <w:rPr>
          <w:u w:val="single"/>
        </w:rPr>
        <w:t>Note:</w:t>
      </w:r>
      <w:r>
        <w:t xml:space="preserve"> Section 1 of Senate Bill 1122, effective July 1, 2013 unless vetoed, creates a new section 633.0215(6)(b) which EXMEPTS certain structures from application of the Florida Fire Prevention Code.</w:t>
      </w:r>
    </w:p>
    <w:p w:rsidR="00940447" w:rsidRPr="00797252" w:rsidRDefault="00940447" w:rsidP="00D9771C">
      <w:pPr>
        <w:pStyle w:val="BlockText"/>
      </w:pPr>
    </w:p>
    <w:p w:rsidR="00C04971" w:rsidRDefault="00CF37B7" w:rsidP="002B78B0">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436BA2">
        <w:t xml:space="preserve"> for 2013 concluded at 7:16 p.m. on Friday, May 3, 2013.</w:t>
      </w:r>
      <w:r w:rsidR="007F63B9">
        <w:t xml:space="preserve"> </w:t>
      </w:r>
      <w:r w:rsidR="005B581D">
        <w:t xml:space="preserve">Almost 100 </w:t>
      </w:r>
      <w:r w:rsidR="006E3B26">
        <w:t>construc</w:t>
      </w:r>
      <w:r w:rsidR="008B64BE">
        <w:t xml:space="preserve">tion-related bills </w:t>
      </w:r>
      <w:r w:rsidR="005B581D">
        <w:t>were filed for consi</w:t>
      </w:r>
      <w:r w:rsidR="00C04971">
        <w:t xml:space="preserve">deration, and the following </w:t>
      </w:r>
      <w:r w:rsidR="0066317C">
        <w:t>26</w:t>
      </w:r>
      <w:r w:rsidR="005B581D">
        <w:t xml:space="preserve"> bills were passed and </w:t>
      </w:r>
      <w:r w:rsidR="005B581D" w:rsidRPr="00695A6D">
        <w:rPr>
          <w:b/>
          <w:i/>
          <w:u w:val="single"/>
        </w:rPr>
        <w:t>ENROLLED</w:t>
      </w:r>
      <w:r w:rsidR="005B581D">
        <w:t xml:space="preserve"> (but only one </w:t>
      </w:r>
      <w:r w:rsidR="00695A6D">
        <w:t xml:space="preserve">such bill </w:t>
      </w:r>
      <w:r w:rsidR="005B581D">
        <w:t>has been presented to the Governor and signed, being Senate Bill 286 regarding Design Professional</w:t>
      </w:r>
      <w:r w:rsidR="00695A6D">
        <w:t>s</w:t>
      </w:r>
      <w:r w:rsidR="005B581D">
        <w:t xml:space="preserve">, which is </w:t>
      </w:r>
      <w:r w:rsidR="00695A6D">
        <w:t xml:space="preserve">now </w:t>
      </w:r>
      <w:r w:rsidR="005B581D">
        <w:t>Chapter 2013-028, Laws of Florida, effective July 1, 2013):</w:t>
      </w:r>
    </w:p>
    <w:p w:rsidR="00C04971" w:rsidRDefault="00C04971" w:rsidP="002B78B0">
      <w:pPr>
        <w:pStyle w:val="BlockText"/>
      </w:pPr>
    </w:p>
    <w:p w:rsidR="00C04971" w:rsidRPr="00C04971" w:rsidRDefault="00C04971" w:rsidP="002B78B0">
      <w:pPr>
        <w:pStyle w:val="BlockText"/>
        <w:rPr>
          <w:u w:val="single"/>
        </w:rPr>
      </w:pPr>
      <w:r w:rsidRPr="00C04971">
        <w:rPr>
          <w:u w:val="single"/>
        </w:rPr>
        <w:t>Bill No.</w:t>
      </w:r>
      <w:r w:rsidRPr="00C04971">
        <w:rPr>
          <w:u w:val="single"/>
        </w:rPr>
        <w:tab/>
      </w:r>
      <w:r w:rsidRPr="00C04971">
        <w:rPr>
          <w:u w:val="single"/>
        </w:rPr>
        <w:tab/>
      </w:r>
      <w:r w:rsidRPr="00C04971">
        <w:rPr>
          <w:u w:val="single"/>
        </w:rPr>
        <w:tab/>
      </w:r>
      <w:r w:rsidRPr="00C04971">
        <w:rPr>
          <w:u w:val="single"/>
        </w:rPr>
        <w:tab/>
        <w:t>Title/Description</w:t>
      </w:r>
      <w:r w:rsidRPr="00C04971">
        <w:rPr>
          <w:u w:val="single"/>
        </w:rPr>
        <w:tab/>
      </w:r>
      <w:r w:rsidRPr="00C04971">
        <w:rPr>
          <w:u w:val="single"/>
        </w:rPr>
        <w:tab/>
      </w:r>
      <w:r w:rsidRPr="00C04971">
        <w:rPr>
          <w:u w:val="single"/>
        </w:rPr>
        <w:tab/>
      </w:r>
      <w:r w:rsidRPr="00C04971">
        <w:rPr>
          <w:u w:val="single"/>
        </w:rPr>
        <w:tab/>
        <w:t>Effective Date</w:t>
      </w:r>
    </w:p>
    <w:p w:rsidR="007C479E" w:rsidRDefault="00C04971" w:rsidP="00695A6D">
      <w:pPr>
        <w:pStyle w:val="BlockText"/>
      </w:pPr>
      <w:r>
        <w:t>21</w:t>
      </w:r>
      <w:r>
        <w:tab/>
      </w:r>
      <w:r>
        <w:tab/>
        <w:t>Background Screening for workers at public schools</w:t>
      </w:r>
      <w:r>
        <w:tab/>
      </w:r>
      <w:r>
        <w:tab/>
      </w:r>
      <w:r>
        <w:tab/>
        <w:t>July 1, 2013</w:t>
      </w:r>
    </w:p>
    <w:p w:rsidR="00C04971" w:rsidRDefault="00C04971" w:rsidP="002B78B0">
      <w:pPr>
        <w:pStyle w:val="BlockText"/>
      </w:pPr>
      <w:r>
        <w:t>57</w:t>
      </w:r>
      <w:r>
        <w:tab/>
      </w:r>
      <w:r>
        <w:tab/>
        <w:t>DBPR - transfer of funds to Homeowners' Recovery Fund</w:t>
      </w:r>
      <w:r>
        <w:tab/>
      </w:r>
      <w:r>
        <w:tab/>
        <w:t>Oct. 1, 2013</w:t>
      </w:r>
    </w:p>
    <w:p w:rsidR="00C04971" w:rsidRDefault="00C04971" w:rsidP="002B78B0">
      <w:pPr>
        <w:pStyle w:val="BlockText"/>
      </w:pPr>
      <w:r>
        <w:t>73</w:t>
      </w:r>
      <w:r>
        <w:tab/>
      </w:r>
      <w:r>
        <w:tab/>
        <w:t>R</w:t>
      </w:r>
      <w:r w:rsidR="00695A6D">
        <w:t>esidential Properties (elevators and window replacements)</w:t>
      </w:r>
      <w:r w:rsidR="00695A6D">
        <w:tab/>
      </w:r>
      <w:r>
        <w:t>July 1, 2013</w:t>
      </w:r>
    </w:p>
    <w:p w:rsidR="00695A6D" w:rsidRDefault="00695A6D" w:rsidP="002B78B0">
      <w:pPr>
        <w:pStyle w:val="BlockText"/>
      </w:pPr>
      <w:r>
        <w:t>85</w:t>
      </w:r>
      <w:r>
        <w:tab/>
      </w:r>
      <w:r>
        <w:tab/>
        <w:t>Public-Private Partnerships</w:t>
      </w:r>
      <w:r>
        <w:tab/>
      </w:r>
      <w:r>
        <w:tab/>
      </w:r>
      <w:r>
        <w:tab/>
      </w:r>
      <w:r>
        <w:tab/>
      </w:r>
      <w:r>
        <w:tab/>
      </w:r>
      <w:r>
        <w:tab/>
        <w:t>July 1, 2013</w:t>
      </w:r>
    </w:p>
    <w:p w:rsidR="00695A6D" w:rsidRDefault="00695A6D" w:rsidP="002B78B0">
      <w:pPr>
        <w:pStyle w:val="BlockText"/>
      </w:pPr>
      <w:r>
        <w:t>87</w:t>
      </w:r>
      <w:r>
        <w:tab/>
      </w:r>
      <w:r>
        <w:tab/>
        <w:t>Mortgages foreclosures</w:t>
      </w:r>
      <w:r>
        <w:tab/>
      </w:r>
      <w:r>
        <w:tab/>
      </w:r>
      <w:r>
        <w:tab/>
      </w:r>
      <w:r>
        <w:tab/>
      </w:r>
      <w:r>
        <w:tab/>
      </w:r>
      <w:r>
        <w:tab/>
        <w:t>July 1, 2013</w:t>
      </w:r>
    </w:p>
    <w:p w:rsidR="00695A6D" w:rsidRDefault="00695A6D" w:rsidP="002B78B0">
      <w:pPr>
        <w:pStyle w:val="BlockText"/>
      </w:pPr>
      <w:r>
        <w:t>112</w:t>
      </w:r>
      <w:r>
        <w:tab/>
      </w:r>
      <w:r>
        <w:tab/>
        <w:t xml:space="preserve">Filing false documents </w:t>
      </w:r>
      <w:r>
        <w:tab/>
      </w:r>
      <w:r>
        <w:tab/>
      </w:r>
      <w:r>
        <w:tab/>
      </w:r>
      <w:r>
        <w:tab/>
      </w:r>
      <w:r>
        <w:tab/>
      </w:r>
      <w:r>
        <w:tab/>
        <w:t>Oct. 1, 2013</w:t>
      </w:r>
    </w:p>
    <w:p w:rsidR="00695A6D" w:rsidRDefault="00695A6D" w:rsidP="002B78B0">
      <w:pPr>
        <w:pStyle w:val="BlockText"/>
      </w:pPr>
      <w:r>
        <w:t>120</w:t>
      </w:r>
      <w:r>
        <w:tab/>
      </w:r>
      <w:r>
        <w:tab/>
        <w:t>Condominiums (extends 7-year period for phrase construction)</w:t>
      </w:r>
      <w:r>
        <w:tab/>
        <w:t>UBL*</w:t>
      </w:r>
    </w:p>
    <w:p w:rsidR="00695A6D" w:rsidRDefault="00695A6D" w:rsidP="002B78B0">
      <w:pPr>
        <w:pStyle w:val="BlockText"/>
      </w:pPr>
      <w:r>
        <w:t>186</w:t>
      </w:r>
      <w:r>
        <w:tab/>
      </w:r>
      <w:r>
        <w:tab/>
      </w:r>
      <w:r w:rsidR="00E67C64">
        <w:t>Court J</w:t>
      </w:r>
      <w:r>
        <w:t>urisdiction</w:t>
      </w:r>
      <w:r w:rsidR="00E67C64">
        <w:tab/>
      </w:r>
      <w:r w:rsidR="00E67C64">
        <w:tab/>
      </w:r>
      <w:r w:rsidR="00E67C64">
        <w:tab/>
      </w:r>
      <w:r w:rsidR="00E67C64">
        <w:tab/>
      </w:r>
      <w:r w:rsidR="00E67C64">
        <w:tab/>
      </w:r>
      <w:r w:rsidR="00E67C64">
        <w:tab/>
      </w:r>
      <w:r w:rsidR="00E67C64">
        <w:tab/>
        <w:t>July 1, 2013</w:t>
      </w:r>
    </w:p>
    <w:p w:rsidR="00695A6D" w:rsidRDefault="00695A6D" w:rsidP="002B78B0">
      <w:pPr>
        <w:pStyle w:val="BlockText"/>
      </w:pPr>
      <w:r>
        <w:t>267</w:t>
      </w:r>
      <w:r>
        <w:tab/>
      </w:r>
      <w:r>
        <w:tab/>
        <w:t>Real Property Liens and Conveyances</w:t>
      </w:r>
      <w:r>
        <w:tab/>
      </w:r>
      <w:r>
        <w:tab/>
      </w:r>
      <w:r>
        <w:tab/>
      </w:r>
      <w:r>
        <w:tab/>
        <w:t>Oct. 1, 2013</w:t>
      </w:r>
    </w:p>
    <w:p w:rsidR="00695A6D" w:rsidRDefault="00695A6D" w:rsidP="002B78B0">
      <w:pPr>
        <w:pStyle w:val="BlockText"/>
      </w:pPr>
      <w:r>
        <w:t>269</w:t>
      </w:r>
      <w:r>
        <w:tab/>
      </w:r>
      <w:r>
        <w:tab/>
        <w:t>Public Construction Projects</w:t>
      </w:r>
      <w:r>
        <w:tab/>
      </w:r>
      <w:r>
        <w:tab/>
      </w:r>
      <w:r>
        <w:tab/>
      </w:r>
      <w:r>
        <w:tab/>
      </w:r>
      <w:r>
        <w:tab/>
      </w:r>
      <w:r>
        <w:tab/>
        <w:t>July 1, 2013</w:t>
      </w:r>
    </w:p>
    <w:p w:rsidR="00E67C64" w:rsidRDefault="00E67C64" w:rsidP="002B78B0">
      <w:pPr>
        <w:pStyle w:val="BlockText"/>
      </w:pPr>
      <w:r>
        <w:t>286</w:t>
      </w:r>
      <w:r>
        <w:tab/>
      </w:r>
      <w:r>
        <w:tab/>
        <w:t>Design Professional (now Chapter 2013-028, LOF)</w:t>
      </w:r>
      <w:r>
        <w:tab/>
      </w:r>
      <w:r>
        <w:tab/>
      </w:r>
      <w:r>
        <w:tab/>
        <w:t>July 1, 2013</w:t>
      </w:r>
    </w:p>
    <w:p w:rsidR="00E67C64" w:rsidRDefault="00E67C64" w:rsidP="002B78B0">
      <w:pPr>
        <w:pStyle w:val="BlockText"/>
      </w:pPr>
      <w:r>
        <w:t>364</w:t>
      </w:r>
      <w:r>
        <w:tab/>
      </w:r>
      <w:r>
        <w:tab/>
        <w:t>Consumptive Use Permits</w:t>
      </w:r>
      <w:r>
        <w:tab/>
      </w:r>
      <w:r>
        <w:tab/>
      </w:r>
      <w:r>
        <w:tab/>
      </w:r>
      <w:r>
        <w:tab/>
      </w:r>
      <w:r>
        <w:tab/>
      </w:r>
      <w:r>
        <w:tab/>
        <w:t>July 1, 2013</w:t>
      </w:r>
    </w:p>
    <w:p w:rsidR="00E67C64" w:rsidRDefault="00E67C64" w:rsidP="002B78B0">
      <w:pPr>
        <w:pStyle w:val="BlockText"/>
      </w:pPr>
      <w:r>
        <w:t>375</w:t>
      </w:r>
      <w:r>
        <w:tab/>
      </w:r>
      <w:r>
        <w:tab/>
        <w:t>On-site Sewerage Treatment Systems and Disposal</w:t>
      </w:r>
      <w:r>
        <w:tab/>
      </w:r>
      <w:r>
        <w:tab/>
      </w:r>
      <w:r>
        <w:tab/>
        <w:t>July 1, 2013</w:t>
      </w:r>
    </w:p>
    <w:p w:rsidR="00E67C64" w:rsidRDefault="00E67C64" w:rsidP="002B78B0">
      <w:pPr>
        <w:pStyle w:val="BlockText"/>
      </w:pPr>
      <w:r>
        <w:t>444</w:t>
      </w:r>
      <w:r>
        <w:tab/>
      </w:r>
      <w:r>
        <w:tab/>
        <w:t>Discharge of Domestic Wastewater through Ocean Outlets</w:t>
      </w:r>
      <w:r>
        <w:tab/>
      </w:r>
      <w:r>
        <w:tab/>
        <w:t>July 1, 2013</w:t>
      </w:r>
    </w:p>
    <w:p w:rsidR="00E67C64" w:rsidRDefault="00E67C64" w:rsidP="002B78B0">
      <w:pPr>
        <w:pStyle w:val="BlockText"/>
      </w:pPr>
      <w:r>
        <w:t>530</w:t>
      </w:r>
      <w:r>
        <w:tab/>
      </w:r>
      <w:r>
        <w:tab/>
        <w:t>Dispute Resolution (Revised Arbitration Code)</w:t>
      </w:r>
      <w:r>
        <w:tab/>
      </w:r>
      <w:r>
        <w:tab/>
      </w:r>
      <w:r>
        <w:tab/>
        <w:t>July 1, 2013**</w:t>
      </w:r>
    </w:p>
    <w:p w:rsidR="00604806" w:rsidRDefault="00604806" w:rsidP="002B78B0">
      <w:pPr>
        <w:pStyle w:val="BlockText"/>
      </w:pPr>
      <w:r>
        <w:t>553</w:t>
      </w:r>
      <w:r>
        <w:tab/>
      </w:r>
      <w:r>
        <w:tab/>
        <w:t>Workers' Compensation Administration</w:t>
      </w:r>
      <w:r>
        <w:tab/>
      </w:r>
      <w:r>
        <w:tab/>
      </w:r>
      <w:r>
        <w:tab/>
      </w:r>
      <w:r>
        <w:tab/>
        <w:t>July 1, 2013</w:t>
      </w:r>
    </w:p>
    <w:p w:rsidR="00604806" w:rsidRDefault="00604806" w:rsidP="002B78B0">
      <w:pPr>
        <w:pStyle w:val="BlockText"/>
      </w:pPr>
      <w:r>
        <w:t>682</w:t>
      </w:r>
      <w:r>
        <w:tab/>
      </w:r>
      <w:r>
        <w:tab/>
        <w:t>Fossil Fuel Combustion Products Storage</w:t>
      </w:r>
      <w:r>
        <w:tab/>
      </w:r>
      <w:r>
        <w:tab/>
      </w:r>
      <w:r>
        <w:tab/>
      </w:r>
      <w:r>
        <w:tab/>
        <w:t>July 1, 2013</w:t>
      </w:r>
    </w:p>
    <w:p w:rsidR="00604806" w:rsidRDefault="00604806" w:rsidP="002B78B0">
      <w:pPr>
        <w:pStyle w:val="BlockText"/>
      </w:pPr>
      <w:r>
        <w:t>935</w:t>
      </w:r>
      <w:r>
        <w:tab/>
      </w:r>
      <w:r>
        <w:tab/>
        <w:t>Florida False Claims Act</w:t>
      </w:r>
      <w:r>
        <w:tab/>
      </w:r>
      <w:r>
        <w:tab/>
      </w:r>
      <w:r>
        <w:tab/>
      </w:r>
      <w:r>
        <w:tab/>
      </w:r>
      <w:r>
        <w:tab/>
      </w:r>
      <w:r>
        <w:tab/>
        <w:t>July 1, 2013</w:t>
      </w:r>
    </w:p>
    <w:p w:rsidR="00604806" w:rsidRDefault="00604806" w:rsidP="002B78B0">
      <w:pPr>
        <w:pStyle w:val="BlockText"/>
      </w:pPr>
      <w:r>
        <w:t>973</w:t>
      </w:r>
      <w:r>
        <w:tab/>
      </w:r>
      <w:r>
        <w:tab/>
        <w:t>Low-voltage Systems</w:t>
      </w:r>
      <w:r>
        <w:tab/>
      </w:r>
      <w:r>
        <w:tab/>
      </w:r>
      <w:r>
        <w:tab/>
      </w:r>
      <w:r>
        <w:tab/>
      </w:r>
      <w:r>
        <w:tab/>
      </w:r>
      <w:r>
        <w:tab/>
      </w:r>
      <w:r>
        <w:tab/>
        <w:t>Oct. 1, 2013</w:t>
      </w:r>
    </w:p>
    <w:p w:rsidR="00604806" w:rsidRDefault="0066317C" w:rsidP="002B78B0">
      <w:pPr>
        <w:pStyle w:val="BlockText"/>
      </w:pPr>
      <w:r>
        <w:t>999</w:t>
      </w:r>
      <w:r>
        <w:tab/>
      </w:r>
      <w:r>
        <w:tab/>
        <w:t>Environmenta</w:t>
      </w:r>
      <w:r w:rsidR="00604806">
        <w:t>l Regulation</w:t>
      </w:r>
      <w:r>
        <w:tab/>
      </w:r>
      <w:r>
        <w:tab/>
      </w:r>
      <w:r>
        <w:tab/>
      </w:r>
      <w:r>
        <w:tab/>
      </w:r>
      <w:r>
        <w:tab/>
      </w:r>
      <w:r>
        <w:tab/>
        <w:t>July 1, 2013</w:t>
      </w:r>
    </w:p>
    <w:p w:rsidR="0066317C" w:rsidRDefault="0066317C" w:rsidP="002B78B0">
      <w:pPr>
        <w:pStyle w:val="BlockText"/>
      </w:pPr>
      <w:r>
        <w:t>1122</w:t>
      </w:r>
      <w:r>
        <w:tab/>
      </w:r>
      <w:r>
        <w:tab/>
        <w:t>Florida Fire Prevention Code</w:t>
      </w:r>
      <w:r>
        <w:tab/>
      </w:r>
      <w:r>
        <w:tab/>
      </w:r>
      <w:r>
        <w:tab/>
      </w:r>
      <w:r>
        <w:tab/>
      </w:r>
      <w:r>
        <w:tab/>
      </w:r>
      <w:r>
        <w:tab/>
        <w:t>July 1, 2013</w:t>
      </w:r>
    </w:p>
    <w:p w:rsidR="0066317C" w:rsidRDefault="0066317C" w:rsidP="002B78B0">
      <w:pPr>
        <w:pStyle w:val="BlockText"/>
      </w:pPr>
      <w:r>
        <w:t>1145</w:t>
      </w:r>
      <w:r>
        <w:tab/>
      </w:r>
      <w:r>
        <w:tab/>
        <w:t>State-owned/leased Space (energy conservation)</w:t>
      </w:r>
      <w:r>
        <w:tab/>
      </w:r>
      <w:r>
        <w:tab/>
      </w:r>
      <w:r>
        <w:tab/>
        <w:t>July 1, 2013</w:t>
      </w:r>
    </w:p>
    <w:p w:rsidR="0066317C" w:rsidRDefault="0066317C" w:rsidP="002B78B0">
      <w:pPr>
        <w:pStyle w:val="BlockText"/>
      </w:pPr>
      <w:r>
        <w:t>1309</w:t>
      </w:r>
      <w:r>
        <w:tab/>
      </w:r>
      <w:r>
        <w:tab/>
        <w:t>Procurement/Contracting Services</w:t>
      </w:r>
      <w:r>
        <w:tab/>
      </w:r>
      <w:r>
        <w:tab/>
      </w:r>
      <w:r>
        <w:tab/>
      </w:r>
      <w:r>
        <w:tab/>
      </w:r>
      <w:r>
        <w:tab/>
        <w:t>July 1, 2013</w:t>
      </w:r>
    </w:p>
    <w:p w:rsidR="0066317C" w:rsidRDefault="0066317C" w:rsidP="002B78B0">
      <w:pPr>
        <w:pStyle w:val="BlockText"/>
      </w:pPr>
      <w:r>
        <w:t>1410</w:t>
      </w:r>
      <w:r>
        <w:tab/>
      </w:r>
      <w:r>
        <w:tab/>
        <w:t>Fire Safety and Prevention</w:t>
      </w:r>
      <w:r>
        <w:tab/>
      </w:r>
      <w:r>
        <w:tab/>
      </w:r>
      <w:r>
        <w:tab/>
      </w:r>
      <w:r>
        <w:tab/>
      </w:r>
      <w:r>
        <w:tab/>
      </w:r>
      <w:r>
        <w:tab/>
        <w:t>July 1, 2013</w:t>
      </w:r>
    </w:p>
    <w:p w:rsidR="0066317C" w:rsidRDefault="0066317C" w:rsidP="002B78B0">
      <w:pPr>
        <w:pStyle w:val="BlockText"/>
      </w:pPr>
      <w:r>
        <w:t>1594</w:t>
      </w:r>
      <w:r>
        <w:tab/>
      </w:r>
      <w:r>
        <w:tab/>
        <w:t>Guaranteed Energy Performance Saving Contracting</w:t>
      </w:r>
      <w:r>
        <w:tab/>
      </w:r>
      <w:r>
        <w:tab/>
        <w:t>July 1, 2013</w:t>
      </w:r>
    </w:p>
    <w:p w:rsidR="0066317C" w:rsidRDefault="0066317C" w:rsidP="002B78B0">
      <w:pPr>
        <w:pStyle w:val="BlockText"/>
      </w:pPr>
      <w:r>
        <w:t>7019</w:t>
      </w:r>
      <w:r>
        <w:tab/>
      </w:r>
      <w:r>
        <w:tab/>
        <w:t>Development Permits</w:t>
      </w:r>
      <w:r>
        <w:tab/>
      </w:r>
      <w:r>
        <w:tab/>
      </w:r>
      <w:r>
        <w:tab/>
      </w:r>
      <w:r>
        <w:tab/>
      </w:r>
      <w:r>
        <w:tab/>
      </w:r>
      <w:r>
        <w:tab/>
      </w:r>
      <w:r>
        <w:tab/>
        <w:t>July 1, 2013</w:t>
      </w:r>
    </w:p>
    <w:p w:rsidR="00530892" w:rsidRDefault="00530892" w:rsidP="002B78B0">
      <w:pPr>
        <w:pStyle w:val="BlockText"/>
      </w:pPr>
    </w:p>
    <w:p w:rsidR="00695A6D" w:rsidRDefault="008157CF" w:rsidP="00695A6D">
      <w:pPr>
        <w:pStyle w:val="BlockText"/>
      </w:pPr>
      <w:r>
        <w:rPr>
          <w:u w:val="single"/>
        </w:rPr>
        <w:t xml:space="preserve">Important </w:t>
      </w:r>
      <w:r w:rsidR="00695A6D" w:rsidRPr="00C04971">
        <w:rPr>
          <w:u w:val="single"/>
        </w:rPr>
        <w:t>Note:</w:t>
      </w:r>
      <w:r w:rsidR="00695A6D">
        <w:t xml:space="preserve"> There were NO changes in Chapter 713 (</w:t>
      </w:r>
      <w:r w:rsidR="0066317C">
        <w:t>construction liens)</w:t>
      </w:r>
      <w:r>
        <w:t>,</w:t>
      </w:r>
      <w:r w:rsidR="0066317C">
        <w:t xml:space="preserve"> except for correcting a</w:t>
      </w:r>
      <w:r w:rsidR="00695A6D">
        <w:t xml:space="preserve"> cross-reference to Chapter 633, and a cross-reference </w:t>
      </w:r>
      <w:r w:rsidR="0066317C">
        <w:t xml:space="preserve">in Senate Bill 112 </w:t>
      </w:r>
      <w:r>
        <w:t>to Section 713.31 in order to</w:t>
      </w:r>
      <w:r w:rsidR="00695A6D">
        <w:t xml:space="preserve"> exclude fraudulent liens</w:t>
      </w:r>
      <w:r w:rsidR="0066317C">
        <w:t xml:space="preserve"> </w:t>
      </w:r>
      <w:r>
        <w:t>from the new</w:t>
      </w:r>
      <w:r w:rsidR="0066317C">
        <w:t xml:space="preserve"> "crime" of filing a false document.</w:t>
      </w:r>
    </w:p>
    <w:p w:rsidR="00695A6D" w:rsidRDefault="00695A6D" w:rsidP="00695A6D">
      <w:pPr>
        <w:pStyle w:val="BlockText"/>
      </w:pPr>
    </w:p>
    <w:p w:rsidR="00695A6D" w:rsidRDefault="00695A6D" w:rsidP="00695A6D">
      <w:pPr>
        <w:pStyle w:val="BlockText"/>
      </w:pPr>
      <w:r>
        <w:t>* Effective date is "upon becoming law," which is when it has been filed in with the Secretary of State (which is usually the date the Governor signs it or allows it to beco</w:t>
      </w:r>
      <w:r w:rsidR="008157CF">
        <w:t>me law without his signature). Upon conclusion of the legislative session, t</w:t>
      </w:r>
      <w:r>
        <w:t xml:space="preserve">he Governor has 15 days after a bill is "presented" to him by </w:t>
      </w:r>
      <w:r w:rsidR="008157CF">
        <w:t xml:space="preserve">signed certification from </w:t>
      </w:r>
      <w:r>
        <w:t>the legislative presiding officers (for which there is NO time limit) within which to sign, veto or allow it to become law.</w:t>
      </w:r>
    </w:p>
    <w:p w:rsidR="00E67C64" w:rsidRDefault="00E67C64" w:rsidP="00695A6D">
      <w:pPr>
        <w:pStyle w:val="BlockText"/>
      </w:pPr>
    </w:p>
    <w:p w:rsidR="00E67C64" w:rsidRDefault="00E67C64" w:rsidP="00695A6D">
      <w:pPr>
        <w:pStyle w:val="BlockText"/>
      </w:pPr>
      <w:r>
        <w:t>** Changes to the Florida Arbitration Code by Senate Bill 53</w:t>
      </w:r>
      <w:r w:rsidR="00604806">
        <w:t>0 are applicable to agreements entered into on or after July 1, 2013; however, AFTER June 30, 2016, this revised code will be applicable to agreements entered into BEFORE July 1, 2013</w:t>
      </w:r>
      <w:r>
        <w:t>.</w:t>
      </w:r>
    </w:p>
    <w:p w:rsidR="00695A6D" w:rsidRDefault="00695A6D" w:rsidP="00695A6D">
      <w:pPr>
        <w:pStyle w:val="BlockText"/>
      </w:pPr>
    </w:p>
    <w:p w:rsidR="008B64BE" w:rsidRDefault="008B64BE" w:rsidP="002B78B0">
      <w:pPr>
        <w:pStyle w:val="BlockText"/>
      </w:pPr>
    </w:p>
    <w:p w:rsidR="00156092" w:rsidRDefault="00156092" w:rsidP="002B78B0">
      <w:pPr>
        <w:pStyle w:val="BlockText"/>
      </w:pPr>
      <w:r>
        <w:t>Respectfully submitted,</w:t>
      </w:r>
    </w:p>
    <w:p w:rsidR="009F4440" w:rsidRDefault="009F4440" w:rsidP="002B78B0">
      <w:pPr>
        <w:pStyle w:val="BlockText"/>
      </w:pPr>
      <w:r>
        <w:t>Fred R. Dudley, Esq.</w:t>
      </w:r>
    </w:p>
    <w:p w:rsidR="00E8267C" w:rsidRDefault="00E8267C" w:rsidP="002B78B0">
      <w:pPr>
        <w:pStyle w:val="BlockText"/>
      </w:pPr>
    </w:p>
    <w:p w:rsidR="00156092" w:rsidRDefault="00B02CB3" w:rsidP="002B78B0">
      <w:pPr>
        <w:pStyle w:val="BlockText"/>
      </w:pPr>
      <w:r>
        <w:t>May 4</w:t>
      </w:r>
      <w:r w:rsidR="0029168D">
        <w:t>, 2</w:t>
      </w:r>
      <w:r w:rsidR="00156092">
        <w:t>012.</w:t>
      </w:r>
    </w:p>
    <w:p w:rsidR="009C6CE8" w:rsidRDefault="009C6CE8" w:rsidP="00922A6D">
      <w:pPr>
        <w:pStyle w:val="BlockText"/>
        <w:ind w:left="360"/>
      </w:pPr>
    </w:p>
    <w:p w:rsidR="005B581D" w:rsidRDefault="005B581D">
      <w:pPr>
        <w:pStyle w:val="BlockText"/>
        <w:ind w:left="360"/>
      </w:pPr>
    </w:p>
    <w:sectPr w:rsidR="005B581D"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E55" w:rsidRDefault="00690E55" w:rsidP="009A2CBA">
      <w:r>
        <w:separator/>
      </w:r>
    </w:p>
  </w:endnote>
  <w:endnote w:type="continuationSeparator" w:id="0">
    <w:p w:rsidR="00690E55" w:rsidRDefault="00690E55"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DC" w:rsidRDefault="00F61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B063EB">
        <w:rPr>
          <w:noProof/>
        </w:rPr>
        <w:t>2</w:t>
      </w:r>
    </w:fldSimple>
  </w:p>
  <w:p w:rsidR="00C014A9" w:rsidRPr="00911FE4" w:rsidRDefault="00F61FDC" w:rsidP="000421B5">
    <w:pPr>
      <w:pStyle w:val="Footer"/>
      <w:rPr>
        <w:rStyle w:val="DocID"/>
      </w:rPr>
    </w:pPr>
    <w:r w:rsidRPr="00F61FDC">
      <w:rPr>
        <w:rStyle w:val="DocID"/>
      </w:rPr>
      <w:t>#23070295_v1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7C6DAF"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B063EB">
      <w:rPr>
        <w:noProof/>
        <w:sz w:val="20"/>
      </w:rPr>
      <w:instrText>1</w:instrText>
    </w:r>
    <w:r>
      <w:rPr>
        <w:sz w:val="20"/>
      </w:rPr>
      <w:fldChar w:fldCharType="end"/>
    </w:r>
    <w:r w:rsidR="00C014A9">
      <w:rPr>
        <w:sz w:val="20"/>
      </w:rPr>
      <w:instrText xml:space="preserve"> = 1 </w:instrText>
    </w:r>
    <w:r w:rsidR="00C014A9" w:rsidRPr="00B102F7">
      <w:rPr>
        <w:rStyle w:val="DocID"/>
      </w:rPr>
      <w:instrText>#12612613_v1</w:instrText>
    </w:r>
    <w:r w:rsidR="00C014A9">
      <w:instrText xml:space="preserve"> ""</w:instrText>
    </w:r>
    <w:r w:rsidR="00C014A9">
      <w:rPr>
        <w:sz w:val="20"/>
      </w:rPr>
      <w:instrText xml:space="preserve"> </w:instrText>
    </w:r>
    <w:r w:rsidR="00B063EB">
      <w:rPr>
        <w:sz w:val="20"/>
      </w:rPr>
      <w:fldChar w:fldCharType="separate"/>
    </w:r>
    <w:r w:rsidR="00B063EB" w:rsidRPr="00B102F7">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E55" w:rsidRDefault="00690E55" w:rsidP="009A2CBA">
      <w:r>
        <w:separator/>
      </w:r>
    </w:p>
  </w:footnote>
  <w:footnote w:type="continuationSeparator" w:id="0">
    <w:p w:rsidR="00690E55" w:rsidRDefault="00690E55"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DC" w:rsidRDefault="00F61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DC" w:rsidRDefault="00F61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DC" w:rsidRDefault="00F61F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74EDF"/>
    <w:rsid w:val="00084298"/>
    <w:rsid w:val="000A3246"/>
    <w:rsid w:val="000A4BA4"/>
    <w:rsid w:val="000B0E17"/>
    <w:rsid w:val="000B1DDB"/>
    <w:rsid w:val="000B76DD"/>
    <w:rsid w:val="000D2555"/>
    <w:rsid w:val="000D7A4E"/>
    <w:rsid w:val="000E17E8"/>
    <w:rsid w:val="000E6D1A"/>
    <w:rsid w:val="000F2EBD"/>
    <w:rsid w:val="000F6911"/>
    <w:rsid w:val="000F69D8"/>
    <w:rsid w:val="00100E22"/>
    <w:rsid w:val="00103CDF"/>
    <w:rsid w:val="00107362"/>
    <w:rsid w:val="00110D3B"/>
    <w:rsid w:val="001114F7"/>
    <w:rsid w:val="001148B5"/>
    <w:rsid w:val="001156AF"/>
    <w:rsid w:val="00117224"/>
    <w:rsid w:val="00117544"/>
    <w:rsid w:val="00126ABD"/>
    <w:rsid w:val="0013367A"/>
    <w:rsid w:val="00135B1C"/>
    <w:rsid w:val="001437FC"/>
    <w:rsid w:val="00146E4E"/>
    <w:rsid w:val="001476D7"/>
    <w:rsid w:val="00151720"/>
    <w:rsid w:val="00151F43"/>
    <w:rsid w:val="00156092"/>
    <w:rsid w:val="001572A8"/>
    <w:rsid w:val="001673C5"/>
    <w:rsid w:val="00172C04"/>
    <w:rsid w:val="00175923"/>
    <w:rsid w:val="0019065B"/>
    <w:rsid w:val="001963BC"/>
    <w:rsid w:val="001B0E80"/>
    <w:rsid w:val="001B11FD"/>
    <w:rsid w:val="001B5A99"/>
    <w:rsid w:val="001B5DD4"/>
    <w:rsid w:val="001B6195"/>
    <w:rsid w:val="001B73F6"/>
    <w:rsid w:val="001D0121"/>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B0"/>
    <w:rsid w:val="00237AEC"/>
    <w:rsid w:val="00243FF8"/>
    <w:rsid w:val="00246D22"/>
    <w:rsid w:val="00251EB1"/>
    <w:rsid w:val="00252DC4"/>
    <w:rsid w:val="002558FB"/>
    <w:rsid w:val="00262A25"/>
    <w:rsid w:val="002630F7"/>
    <w:rsid w:val="00274276"/>
    <w:rsid w:val="002857BE"/>
    <w:rsid w:val="00286558"/>
    <w:rsid w:val="00286B40"/>
    <w:rsid w:val="00290B6F"/>
    <w:rsid w:val="0029168D"/>
    <w:rsid w:val="00294F80"/>
    <w:rsid w:val="002A4DD8"/>
    <w:rsid w:val="002A777F"/>
    <w:rsid w:val="002B09F1"/>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154E8"/>
    <w:rsid w:val="003239B0"/>
    <w:rsid w:val="0032598E"/>
    <w:rsid w:val="003319A7"/>
    <w:rsid w:val="003376F7"/>
    <w:rsid w:val="00340637"/>
    <w:rsid w:val="00340740"/>
    <w:rsid w:val="00340B4E"/>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50CC"/>
    <w:rsid w:val="003D34DF"/>
    <w:rsid w:val="003D6EAC"/>
    <w:rsid w:val="003D7308"/>
    <w:rsid w:val="003E13A7"/>
    <w:rsid w:val="003E3843"/>
    <w:rsid w:val="003F5F1A"/>
    <w:rsid w:val="00416C25"/>
    <w:rsid w:val="004200FB"/>
    <w:rsid w:val="004204AE"/>
    <w:rsid w:val="00425FE8"/>
    <w:rsid w:val="00427E2F"/>
    <w:rsid w:val="00436BA2"/>
    <w:rsid w:val="004406AC"/>
    <w:rsid w:val="00441CD1"/>
    <w:rsid w:val="00454846"/>
    <w:rsid w:val="0045543B"/>
    <w:rsid w:val="0046192D"/>
    <w:rsid w:val="004634BE"/>
    <w:rsid w:val="00465432"/>
    <w:rsid w:val="0047003F"/>
    <w:rsid w:val="00474D96"/>
    <w:rsid w:val="00484B9C"/>
    <w:rsid w:val="00491907"/>
    <w:rsid w:val="00492027"/>
    <w:rsid w:val="004A0671"/>
    <w:rsid w:val="004A451E"/>
    <w:rsid w:val="004A5613"/>
    <w:rsid w:val="004A582F"/>
    <w:rsid w:val="004A6E9B"/>
    <w:rsid w:val="004B196B"/>
    <w:rsid w:val="004C458B"/>
    <w:rsid w:val="004C63D8"/>
    <w:rsid w:val="004C7846"/>
    <w:rsid w:val="004E142A"/>
    <w:rsid w:val="004E35D0"/>
    <w:rsid w:val="004E61C2"/>
    <w:rsid w:val="004E7067"/>
    <w:rsid w:val="004F030C"/>
    <w:rsid w:val="004F3D87"/>
    <w:rsid w:val="00500503"/>
    <w:rsid w:val="00504537"/>
    <w:rsid w:val="005063F3"/>
    <w:rsid w:val="0051221A"/>
    <w:rsid w:val="00512724"/>
    <w:rsid w:val="00520F5E"/>
    <w:rsid w:val="005237C4"/>
    <w:rsid w:val="00530892"/>
    <w:rsid w:val="00530CD6"/>
    <w:rsid w:val="00535353"/>
    <w:rsid w:val="00535A2B"/>
    <w:rsid w:val="005463F4"/>
    <w:rsid w:val="00553CBE"/>
    <w:rsid w:val="00555FBF"/>
    <w:rsid w:val="005665C2"/>
    <w:rsid w:val="0059572F"/>
    <w:rsid w:val="005A61CC"/>
    <w:rsid w:val="005A74C3"/>
    <w:rsid w:val="005B212C"/>
    <w:rsid w:val="005B2CCD"/>
    <w:rsid w:val="005B558F"/>
    <w:rsid w:val="005B581D"/>
    <w:rsid w:val="005C08FA"/>
    <w:rsid w:val="005C40F9"/>
    <w:rsid w:val="005C5CFC"/>
    <w:rsid w:val="005D217B"/>
    <w:rsid w:val="005D5F3E"/>
    <w:rsid w:val="005D71D8"/>
    <w:rsid w:val="005E4539"/>
    <w:rsid w:val="005F17D4"/>
    <w:rsid w:val="005F1FB3"/>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60F73"/>
    <w:rsid w:val="0066317C"/>
    <w:rsid w:val="00667D54"/>
    <w:rsid w:val="00675E10"/>
    <w:rsid w:val="00685808"/>
    <w:rsid w:val="00690E55"/>
    <w:rsid w:val="00695A6D"/>
    <w:rsid w:val="00697F28"/>
    <w:rsid w:val="006A3A6B"/>
    <w:rsid w:val="006A50BC"/>
    <w:rsid w:val="006B1D63"/>
    <w:rsid w:val="006B60DD"/>
    <w:rsid w:val="006C5A7D"/>
    <w:rsid w:val="006D3AD0"/>
    <w:rsid w:val="006D7744"/>
    <w:rsid w:val="006E3B26"/>
    <w:rsid w:val="006E5C27"/>
    <w:rsid w:val="006F336C"/>
    <w:rsid w:val="007017B0"/>
    <w:rsid w:val="0070218E"/>
    <w:rsid w:val="007065A1"/>
    <w:rsid w:val="007135EE"/>
    <w:rsid w:val="007150E1"/>
    <w:rsid w:val="00722B80"/>
    <w:rsid w:val="00757661"/>
    <w:rsid w:val="00760E2D"/>
    <w:rsid w:val="00774A2B"/>
    <w:rsid w:val="007755F6"/>
    <w:rsid w:val="00780CCE"/>
    <w:rsid w:val="007862BD"/>
    <w:rsid w:val="007870BA"/>
    <w:rsid w:val="00793514"/>
    <w:rsid w:val="00795394"/>
    <w:rsid w:val="00797252"/>
    <w:rsid w:val="007977D0"/>
    <w:rsid w:val="007A040E"/>
    <w:rsid w:val="007A2C34"/>
    <w:rsid w:val="007A7335"/>
    <w:rsid w:val="007B455D"/>
    <w:rsid w:val="007C3596"/>
    <w:rsid w:val="007C479E"/>
    <w:rsid w:val="007C6DAF"/>
    <w:rsid w:val="007E128E"/>
    <w:rsid w:val="007E4176"/>
    <w:rsid w:val="007F2F12"/>
    <w:rsid w:val="007F63B9"/>
    <w:rsid w:val="007F6E51"/>
    <w:rsid w:val="00801B02"/>
    <w:rsid w:val="00812FF0"/>
    <w:rsid w:val="008157CF"/>
    <w:rsid w:val="00820D75"/>
    <w:rsid w:val="00821688"/>
    <w:rsid w:val="008219AB"/>
    <w:rsid w:val="0082467E"/>
    <w:rsid w:val="008271F6"/>
    <w:rsid w:val="00832281"/>
    <w:rsid w:val="00832A42"/>
    <w:rsid w:val="0083319A"/>
    <w:rsid w:val="00833649"/>
    <w:rsid w:val="0086294F"/>
    <w:rsid w:val="008642DB"/>
    <w:rsid w:val="00864F61"/>
    <w:rsid w:val="008667F9"/>
    <w:rsid w:val="008714D7"/>
    <w:rsid w:val="00875906"/>
    <w:rsid w:val="00883771"/>
    <w:rsid w:val="00886D9E"/>
    <w:rsid w:val="0089089A"/>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10237"/>
    <w:rsid w:val="00912B18"/>
    <w:rsid w:val="00913DE9"/>
    <w:rsid w:val="00920535"/>
    <w:rsid w:val="00922A6D"/>
    <w:rsid w:val="009242EA"/>
    <w:rsid w:val="00925E5C"/>
    <w:rsid w:val="00927A0D"/>
    <w:rsid w:val="00927EF0"/>
    <w:rsid w:val="00933C83"/>
    <w:rsid w:val="00936542"/>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9F361B"/>
    <w:rsid w:val="009F4440"/>
    <w:rsid w:val="00A0246B"/>
    <w:rsid w:val="00A03908"/>
    <w:rsid w:val="00A05724"/>
    <w:rsid w:val="00A11C23"/>
    <w:rsid w:val="00A17D94"/>
    <w:rsid w:val="00A23BA0"/>
    <w:rsid w:val="00A24F93"/>
    <w:rsid w:val="00A314FA"/>
    <w:rsid w:val="00A3799B"/>
    <w:rsid w:val="00A413D5"/>
    <w:rsid w:val="00A47BAD"/>
    <w:rsid w:val="00A47D5F"/>
    <w:rsid w:val="00A52BEC"/>
    <w:rsid w:val="00A57777"/>
    <w:rsid w:val="00A57E0F"/>
    <w:rsid w:val="00A82F6F"/>
    <w:rsid w:val="00A862A4"/>
    <w:rsid w:val="00A92BA2"/>
    <w:rsid w:val="00A9360E"/>
    <w:rsid w:val="00A973D9"/>
    <w:rsid w:val="00AA1C3B"/>
    <w:rsid w:val="00AA20DC"/>
    <w:rsid w:val="00AA2435"/>
    <w:rsid w:val="00AA49B9"/>
    <w:rsid w:val="00AB6124"/>
    <w:rsid w:val="00AB7A77"/>
    <w:rsid w:val="00AC560D"/>
    <w:rsid w:val="00AD19E4"/>
    <w:rsid w:val="00AD319B"/>
    <w:rsid w:val="00AD3673"/>
    <w:rsid w:val="00AD4A48"/>
    <w:rsid w:val="00AE0C03"/>
    <w:rsid w:val="00AE40E2"/>
    <w:rsid w:val="00AE4928"/>
    <w:rsid w:val="00AF4CC5"/>
    <w:rsid w:val="00B02CB3"/>
    <w:rsid w:val="00B04E9C"/>
    <w:rsid w:val="00B063EB"/>
    <w:rsid w:val="00B102F7"/>
    <w:rsid w:val="00B11BE8"/>
    <w:rsid w:val="00B1354A"/>
    <w:rsid w:val="00B33726"/>
    <w:rsid w:val="00B34CB8"/>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2CAD"/>
    <w:rsid w:val="00C44CB7"/>
    <w:rsid w:val="00C46B9E"/>
    <w:rsid w:val="00C527C3"/>
    <w:rsid w:val="00C552DE"/>
    <w:rsid w:val="00C55BAE"/>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D7404"/>
    <w:rsid w:val="00CF0F17"/>
    <w:rsid w:val="00CF2384"/>
    <w:rsid w:val="00CF2DBD"/>
    <w:rsid w:val="00CF37B7"/>
    <w:rsid w:val="00CF7C33"/>
    <w:rsid w:val="00D15049"/>
    <w:rsid w:val="00D17EF8"/>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576B4"/>
    <w:rsid w:val="00E64091"/>
    <w:rsid w:val="00E66470"/>
    <w:rsid w:val="00E67C64"/>
    <w:rsid w:val="00E71BDF"/>
    <w:rsid w:val="00E8267C"/>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12AB"/>
    <w:rsid w:val="00F023FE"/>
    <w:rsid w:val="00F07308"/>
    <w:rsid w:val="00F0773C"/>
    <w:rsid w:val="00F10ABD"/>
    <w:rsid w:val="00F1558B"/>
    <w:rsid w:val="00F15B84"/>
    <w:rsid w:val="00F16CBD"/>
    <w:rsid w:val="00F17078"/>
    <w:rsid w:val="00F21394"/>
    <w:rsid w:val="00F33F66"/>
    <w:rsid w:val="00F372CE"/>
    <w:rsid w:val="00F4233A"/>
    <w:rsid w:val="00F42B22"/>
    <w:rsid w:val="00F43272"/>
    <w:rsid w:val="00F50B67"/>
    <w:rsid w:val="00F52831"/>
    <w:rsid w:val="00F53B73"/>
    <w:rsid w:val="00F53D3E"/>
    <w:rsid w:val="00F56C3E"/>
    <w:rsid w:val="00F60C95"/>
    <w:rsid w:val="00F61714"/>
    <w:rsid w:val="00F61FDC"/>
    <w:rsid w:val="00F7015E"/>
    <w:rsid w:val="00F7297C"/>
    <w:rsid w:val="00F828AE"/>
    <w:rsid w:val="00F8540B"/>
    <w:rsid w:val="00F85ED6"/>
    <w:rsid w:val="00F91098"/>
    <w:rsid w:val="00F9398C"/>
    <w:rsid w:val="00F9535D"/>
    <w:rsid w:val="00F97BF7"/>
    <w:rsid w:val="00FA0D68"/>
    <w:rsid w:val="00FA2710"/>
    <w:rsid w:val="00FA5090"/>
    <w:rsid w:val="00FA7F61"/>
    <w:rsid w:val="00FB554A"/>
    <w:rsid w:val="00FB588A"/>
    <w:rsid w:val="00FC0694"/>
    <w:rsid w:val="00FC6F29"/>
    <w:rsid w:val="00FD1341"/>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14026</Characters>
  <Application>Microsoft Office Word</Application>
  <DocSecurity>0</DocSecurity>
  <Lines>299</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2012-09-08T16:17:00Z</cp:lastPrinted>
  <dcterms:created xsi:type="dcterms:W3CDTF">2013-05-07T12:07:00Z</dcterms:created>
  <dcterms:modified xsi:type="dcterms:W3CDTF">2013-05-07T12:07:00Z</dcterms:modified>
  <cp:category> </cp:category>
  <cp:contentStatus> </cp:contentStatus>
</cp:coreProperties>
</file>