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CF0F17">
        <w:t xml:space="preserve"> February</w:t>
      </w:r>
      <w:r w:rsidR="00FA0D68">
        <w:t xml:space="preserve"> 2013</w:t>
      </w:r>
    </w:p>
    <w:p w:rsidR="00D9771C" w:rsidRDefault="00D9771C" w:rsidP="00F9535D">
      <w:pPr>
        <w:pStyle w:val="BlockText"/>
      </w:pPr>
    </w:p>
    <w:p w:rsidR="00013164" w:rsidRDefault="00D9771C" w:rsidP="00D9771C">
      <w:pPr>
        <w:pStyle w:val="BlockText"/>
        <w:rPr>
          <w:b/>
          <w:u w:val="single"/>
        </w:rPr>
      </w:pPr>
      <w:r w:rsidRPr="00D9771C">
        <w:rPr>
          <w:b/>
          <w:u w:val="single"/>
        </w:rPr>
        <w:t>Appellate Decisions:</w:t>
      </w:r>
    </w:p>
    <w:p w:rsidR="00797252" w:rsidRDefault="00797252" w:rsidP="00797252">
      <w:pPr>
        <w:pStyle w:val="BlockText"/>
        <w:rPr>
          <w:b/>
          <w:u w:val="single"/>
        </w:rPr>
      </w:pPr>
    </w:p>
    <w:p w:rsidR="001B0E80" w:rsidRDefault="001B0E80" w:rsidP="00797252">
      <w:pPr>
        <w:pStyle w:val="BlockText"/>
      </w:pPr>
      <w:r>
        <w:tab/>
      </w:r>
      <w:r w:rsidRPr="001B0E80">
        <w:rPr>
          <w:i/>
          <w:u w:val="single"/>
        </w:rPr>
        <w:t>Tiara Condominium Association, Inc., v. Marsh &amp; McLennan Companies, Inc</w:t>
      </w:r>
      <w:r>
        <w:t xml:space="preserve">., 38 Fla. L. Weekly S151a, Supreme Court of Florida, Case No SC10-1022, filed March 7, 2013. In a 5-2 opinion (Polston and Canady dissenting in separate opinions and Justice Pariente concurring in a separate opinion), the court responded in the </w:t>
      </w:r>
      <w:r w:rsidRPr="001B0E80">
        <w:rPr>
          <w:b/>
        </w:rPr>
        <w:t>negative</w:t>
      </w:r>
      <w:r>
        <w:t xml:space="preserve"> to a re-stated certified question form the 11th Circuit Court of Appeals, as follows: </w:t>
      </w:r>
    </w:p>
    <w:p w:rsidR="001B0E80" w:rsidRDefault="001B0E80" w:rsidP="001B0E80">
      <w:pPr>
        <w:pStyle w:val="BlockText"/>
        <w:ind w:left="720"/>
      </w:pPr>
      <w:r>
        <w:t>DOES THE ECONOMIC LOSS RULE BAR AN INSURED'S SUIT AGAINST AN INSURANCE BROKER WHERE THE PARTIES ARE IN CONTRACTUAL PRIVITY WITH ONE ANOTHER AND THE DAMAGES SOUGHT ARE SOLELY FOR ECONOMIC DAMAGES?</w:t>
      </w:r>
    </w:p>
    <w:p w:rsidR="001B0E80" w:rsidRDefault="001B0E80" w:rsidP="001B0E80">
      <w:pPr>
        <w:pStyle w:val="BlockText"/>
        <w:ind w:firstLine="720"/>
      </w:pPr>
      <w:r>
        <w:t>In holding that the ELR applies ONLY in products liability cases, the majority opinion states the court is receding from it prior rulings in all other cases, which it characterized as "unwise and unworkable in practice. In this case, the condominium's insurance</w:t>
      </w:r>
      <w:r w:rsidR="00FF6ADE">
        <w:t xml:space="preserve"> broker represented that</w:t>
      </w:r>
      <w:r>
        <w:t xml:space="preserve"> the association had property damage coverage of $50 million PER OCCURANCE; after being damages by two hurricanes</w:t>
      </w:r>
      <w:r w:rsidR="00FF6ADE">
        <w:t xml:space="preserve"> (Frances and Jeanne)</w:t>
      </w:r>
      <w:r>
        <w:t>,</w:t>
      </w:r>
      <w:r w:rsidR="00FF6ADE">
        <w:t xml:space="preserve"> the association began a more expensive remediation of damages based on this representation, but the insurer (Citizens Property Insurance Corporation) took the position that the coverage was limited to a total of only $50 million for both occurrences. The parties settled for $89 million, and the association sought the balance from its broker based on (1) breach of contract, (2) negligent misrepresentation, (3) breach of the implied covenant fo good faith and fair dealing, (4) negligence, and (5) breach of fiduciary duty..</w:t>
      </w:r>
    </w:p>
    <w:p w:rsidR="00FF6ADE" w:rsidRDefault="0036439B" w:rsidP="001B0E80">
      <w:pPr>
        <w:pStyle w:val="BlockText"/>
        <w:ind w:firstLine="720"/>
      </w:pPr>
      <w:r>
        <w:t>T</w:t>
      </w:r>
      <w:r w:rsidR="00FF6ADE">
        <w:t>he trial court granted summary judgment in favor of the broker on all claims, and the 11</w:t>
      </w:r>
      <w:r w:rsidR="00FF6ADE" w:rsidRPr="00FF6ADE">
        <w:rPr>
          <w:vertAlign w:val="superscript"/>
        </w:rPr>
        <w:t>th</w:t>
      </w:r>
      <w:r w:rsidR="00FF6ADE">
        <w:t xml:space="preserve"> Circuit affirmed that result as to all claims </w:t>
      </w:r>
      <w:r w:rsidR="00FF6ADE" w:rsidRPr="00FF6ADE">
        <w:rPr>
          <w:u w:val="single"/>
        </w:rPr>
        <w:t>except for the negligence and breach of fiduciary duty claims</w:t>
      </w:r>
      <w:r w:rsidR="00FF6ADE" w:rsidRPr="00FF6ADE">
        <w:t xml:space="preserve">, and certified the </w:t>
      </w:r>
      <w:r w:rsidR="00FF6ADE">
        <w:t xml:space="preserve">question </w:t>
      </w:r>
      <w:r>
        <w:t xml:space="preserve">as to these remaining claims </w:t>
      </w:r>
      <w:r w:rsidR="00FF6ADE">
        <w:t xml:space="preserve">in terms of whether the ELR precluded recovery and whether the broker was a "professional" within the exception to the ELR under the holding of </w:t>
      </w:r>
      <w:r w:rsidR="00FF6ADE" w:rsidRPr="0036439B">
        <w:rPr>
          <w:i/>
          <w:u w:val="single"/>
        </w:rPr>
        <w:t>Moransais</w:t>
      </w:r>
      <w:r w:rsidRPr="0036439B">
        <w:rPr>
          <w:i/>
          <w:u w:val="single"/>
        </w:rPr>
        <w:t xml:space="preserve"> v. Heathman</w:t>
      </w:r>
      <w:r>
        <w:t>, 744 So. 2d 973 (Fla. 1999)</w:t>
      </w:r>
      <w:r w:rsidR="00530CD6">
        <w:t>,</w:t>
      </w:r>
      <w:r>
        <w:t xml:space="preserve"> and its predecessor cases</w:t>
      </w:r>
      <w:r w:rsidR="00FF6ADE">
        <w:t>.</w:t>
      </w:r>
      <w:r w:rsidR="00530CD6">
        <w:t xml:space="preserve"> The court's majority restated the certified question so as to ignore the "professional" exception to the ELR, since they were receding to a "products" only application of the rule.</w:t>
      </w:r>
    </w:p>
    <w:p w:rsidR="0036439B" w:rsidRDefault="0036439B" w:rsidP="0036439B">
      <w:pPr>
        <w:pStyle w:val="BlockText"/>
        <w:ind w:firstLine="720"/>
      </w:pPr>
      <w:r>
        <w:t>In his dissent, Justice Canady agreed that the</w:t>
      </w:r>
      <w:r w:rsidR="00530CD6">
        <w:t xml:space="preserve"> </w:t>
      </w:r>
      <w:r w:rsidRPr="0036439B">
        <w:rPr>
          <w:u w:val="single"/>
        </w:rPr>
        <w:t>original</w:t>
      </w:r>
      <w:r>
        <w:t xml:space="preserve"> certified question should </w:t>
      </w:r>
      <w:r w:rsidR="00530CD6">
        <w:t xml:space="preserve">be </w:t>
      </w:r>
      <w:r>
        <w:t>answered in the negative as well, but only because he did not find the insurance broker to within the "professional" exception to this rule. He stated: "With today's decision, we face the prospect of every breach of contract claim being accompanied by a tort claim."</w:t>
      </w:r>
    </w:p>
    <w:p w:rsidR="0036439B" w:rsidRDefault="0036439B" w:rsidP="0036439B">
      <w:pPr>
        <w:pStyle w:val="BlockText"/>
      </w:pPr>
      <w:r>
        <w:t>NOTE: Even the Justice disagreed if this decision is an "unsettling" change in law.</w:t>
      </w:r>
    </w:p>
    <w:p w:rsidR="0036439B" w:rsidRDefault="0036439B" w:rsidP="0036439B">
      <w:pPr>
        <w:pStyle w:val="BlockText"/>
      </w:pPr>
    </w:p>
    <w:p w:rsidR="0036439B" w:rsidRPr="00FF6ADE" w:rsidRDefault="00530CD6" w:rsidP="0036439B">
      <w:pPr>
        <w:pStyle w:val="BlockText"/>
      </w:pPr>
      <w:r>
        <w:tab/>
      </w:r>
      <w:r w:rsidRPr="00530CD6">
        <w:rPr>
          <w:i/>
          <w:u w:val="single"/>
        </w:rPr>
        <w:t>Jay Raubvogel, et. al., v. Credit Suisse Securities</w:t>
      </w:r>
      <w:r>
        <w:t>, 38 Fla.L. Weekly, Case No. 4D12-259, issued February 20, 2013: The trial court's finding that the prevailing parties had waived the right to have the court determine attorney's fees was reversed in the absence of any such express waiver, not merely implied by a request for fees in the arbitration proceedings, and the case remanded for a fee determination by the court.</w:t>
      </w:r>
    </w:p>
    <w:p w:rsidR="00013164" w:rsidRDefault="00013164" w:rsidP="00D9771C">
      <w:pPr>
        <w:pStyle w:val="BlockText"/>
        <w:rPr>
          <w:b/>
          <w:u w:val="single"/>
        </w:rPr>
      </w:pPr>
    </w:p>
    <w:p w:rsidR="00530CD6" w:rsidRDefault="00530CD6" w:rsidP="00D9771C">
      <w:pPr>
        <w:pStyle w:val="BlockText"/>
      </w:pPr>
      <w:r>
        <w:lastRenderedPageBreak/>
        <w:tab/>
      </w:r>
      <w:r w:rsidRPr="00530CD6">
        <w:rPr>
          <w:i/>
          <w:u w:val="single"/>
        </w:rPr>
        <w:t>Fernando Subirats v. Fidelity National Property</w:t>
      </w:r>
      <w:r>
        <w:t xml:space="preserve">, 38 Fla. L. Weekly D396a, Case No. 3D12-68, filed February 20, 2013: The Department of Financial Services was found to have exceeded its rulemaking authority by enacting Rule 69J-166.031, F.A.C., </w:t>
      </w:r>
      <w:r w:rsidR="00DF072F">
        <w:t>requiring an insurer to notify its insured within five (5) days of receiving a claim of the right to participate in a state-sponsored mediation program, failing which the insurer waived his or her right to enforce a policy appraisal provision. The court found that subsection (4) of s. 627.7015, F. S., requiring the creation of a property insurance mediation program, did not include the rulemaking authority to provide for a wavier of this right, and affirmed the trial court's order staying</w:t>
      </w:r>
      <w:r w:rsidR="00C84E54">
        <w:t xml:space="preserve"> litigation of the breach of contract claim until the parties complete the appraisal process.</w:t>
      </w:r>
    </w:p>
    <w:p w:rsidR="00C84E54" w:rsidRDefault="00C84E54" w:rsidP="00D9771C">
      <w:pPr>
        <w:pStyle w:val="BlockText"/>
      </w:pPr>
    </w:p>
    <w:p w:rsidR="00C84E54" w:rsidRDefault="00C84E54" w:rsidP="00D9771C">
      <w:pPr>
        <w:pStyle w:val="BlockText"/>
      </w:pPr>
      <w:r>
        <w:tab/>
      </w:r>
      <w:r w:rsidR="00D550EA" w:rsidRPr="00D550EA">
        <w:rPr>
          <w:i/>
          <w:u w:val="single"/>
        </w:rPr>
        <w:t>Marcum, LLP v. Alan Potakin</w:t>
      </w:r>
      <w:r w:rsidR="00D550EA">
        <w:t>, 38 Fla. L. Weekly D390b, Case No. 3D12-1867, filed February 20, 2013: Upheld trial court's denial for a declaratory judgment that the right to arbitrate is non-assignable, unless assignment was prohibited by contract, the contractual obligation are of a personal nature, or public policy precludes assignment. In so holding, the court affirmed that any determination of assignability was within the jurisdiction of the arbitrator, and not for the court to decide.</w:t>
      </w:r>
    </w:p>
    <w:p w:rsidR="00D550EA" w:rsidRDefault="00D550EA" w:rsidP="00D9771C">
      <w:pPr>
        <w:pStyle w:val="BlockText"/>
      </w:pPr>
    </w:p>
    <w:p w:rsidR="00D550EA" w:rsidRDefault="00D550EA" w:rsidP="00D9771C">
      <w:pPr>
        <w:pStyle w:val="BlockText"/>
      </w:pPr>
      <w:r>
        <w:tab/>
      </w:r>
      <w:r w:rsidRPr="00D550EA">
        <w:rPr>
          <w:i/>
          <w:u w:val="single"/>
        </w:rPr>
        <w:t>Pompano Masonry Corporation v. Anastasi</w:t>
      </w:r>
      <w:r>
        <w:t xml:space="preserve">, 38 Fla. L. Weekly D295a, Case No. $d12-181, filed February 6, 2013: </w:t>
      </w:r>
      <w:r w:rsidR="004E7067">
        <w:t>In upholding the imposition of trial court attorney fees as a sanction pursuant to Rule 1.730(c), F.R.C.P., for failure of a party to execute a release pursuant to a settlement agreement, the court held that the trial court had made sufficient oral findings to support the sanction, even though those findings had not been included in the order awarding fees.</w:t>
      </w:r>
    </w:p>
    <w:p w:rsidR="00D550EA" w:rsidRDefault="00D550EA" w:rsidP="00D9771C">
      <w:pPr>
        <w:pStyle w:val="BlockText"/>
      </w:pPr>
    </w:p>
    <w:p w:rsidR="00D550EA" w:rsidRDefault="00D550EA" w:rsidP="00D9771C">
      <w:pPr>
        <w:pStyle w:val="BlockText"/>
      </w:pPr>
      <w:r>
        <w:tab/>
      </w:r>
      <w:r w:rsidR="009024B4" w:rsidRPr="009024B4">
        <w:rPr>
          <w:i/>
          <w:u w:val="single"/>
        </w:rPr>
        <w:t>Suzlon Energy v. Ventus De Nicaragua</w:t>
      </w:r>
      <w:r w:rsidR="009024B4">
        <w:t xml:space="preserve">, S. </w:t>
      </w:r>
      <w:r w:rsidR="00286B40">
        <w:t>A., 38 Fla. L. Weekly D304a, Ca</w:t>
      </w:r>
      <w:r w:rsidR="009024B4">
        <w:t>se No</w:t>
      </w:r>
      <w:r w:rsidR="00286B40">
        <w:t>.</w:t>
      </w:r>
      <w:r w:rsidR="009024B4">
        <w:t xml:space="preserve"> 3D11-1087, filed February 6, 2013:</w:t>
      </w:r>
      <w:r w:rsidR="00286B40">
        <w:t xml:space="preserve"> Reversed the trial court's order confirming an arbitration award based on the corporate officer's lack of authority to initiate the arbitration.</w:t>
      </w:r>
    </w:p>
    <w:p w:rsidR="00530CD6" w:rsidRDefault="00530CD6" w:rsidP="00D9771C">
      <w:pPr>
        <w:pStyle w:val="BlockText"/>
      </w:pPr>
    </w:p>
    <w:p w:rsidR="00530CD6" w:rsidRDefault="009024B4" w:rsidP="00D9771C">
      <w:pPr>
        <w:pStyle w:val="BlockText"/>
      </w:pPr>
      <w:r>
        <w:tab/>
      </w:r>
      <w:r w:rsidRPr="009024B4">
        <w:rPr>
          <w:i/>
          <w:u w:val="single"/>
        </w:rPr>
        <w:t>Pilot Construction Services, Inc. v. Babe's Plumbing, Inc.</w:t>
      </w:r>
      <w:r>
        <w:t xml:space="preserve"> 38 Fla. L. Weeikly D256a, Case No. 2D11-6009, filed February 1, 2013: </w:t>
      </w:r>
      <w:r w:rsidR="00286B40">
        <w:t xml:space="preserve">In reversing and remanding a final summary judgment entered </w:t>
      </w:r>
      <w:r w:rsidR="0063019F">
        <w:t>against contractor in its action against plumbing subcontractor, it was held that (1) a settlement agreement between the subcontractor and the owner did not preclude contractor's claim against subcontractor for indemnification, and (2) section 725.06, F. S. (2005) did not bar contractor's claim against subcontractor since contractor's claim was not based on its own negligence.</w:t>
      </w:r>
    </w:p>
    <w:p w:rsidR="009024B4" w:rsidRDefault="009024B4" w:rsidP="00D9771C">
      <w:pPr>
        <w:pStyle w:val="BlockText"/>
      </w:pPr>
    </w:p>
    <w:p w:rsidR="009024B4" w:rsidRDefault="009024B4" w:rsidP="00D9771C">
      <w:pPr>
        <w:pStyle w:val="BlockText"/>
      </w:pPr>
      <w:r>
        <w:tab/>
      </w:r>
      <w:r w:rsidRPr="009024B4">
        <w:rPr>
          <w:i/>
          <w:u w:val="single"/>
        </w:rPr>
        <w:t>Suncoast Home Improvements, Inc., v. Robichaud</w:t>
      </w:r>
      <w:r>
        <w:t>, 38 Fla. L. Weekly D265a, Case No. 2D12-2645, filed February 1, 2013:</w:t>
      </w:r>
      <w:r w:rsidR="0063019F">
        <w:t xml:space="preserve"> In reversing trial court's nonfinal order transferring venue from Pinellas County to Charlotte County, judge Silberman found that, since the defendant owners did not file an affidavit </w:t>
      </w:r>
      <w:r w:rsidR="009C4A92">
        <w:t xml:space="preserve">disputing venue in Pinellas County, the "place of payment rule" applies, notwithstanding that the defendants resided, and the work was performed, in Charlotte County. </w:t>
      </w:r>
    </w:p>
    <w:p w:rsidR="009C4A92" w:rsidRDefault="009C4A92" w:rsidP="00D9771C">
      <w:pPr>
        <w:pStyle w:val="BlockText"/>
      </w:pPr>
      <w:r>
        <w:t>Note: As this opinion points out, the "place of payment" rule for venue does not apply where the damages are unliquidated.</w:t>
      </w:r>
    </w:p>
    <w:p w:rsidR="009024B4" w:rsidRPr="00530CD6" w:rsidRDefault="009024B4" w:rsidP="00D9771C">
      <w:pPr>
        <w:pStyle w:val="BlockText"/>
      </w:pPr>
    </w:p>
    <w:p w:rsidR="00D9771C" w:rsidRDefault="00EB61E2" w:rsidP="00D9771C">
      <w:pPr>
        <w:pStyle w:val="BlockText"/>
      </w:pPr>
      <w:r w:rsidRPr="00797252">
        <w:rPr>
          <w:b/>
          <w:u w:val="single"/>
        </w:rPr>
        <w:t>DOAH</w:t>
      </w:r>
      <w:r w:rsidR="00D9771C" w:rsidRPr="00797252">
        <w:rPr>
          <w:b/>
          <w:u w:val="single"/>
        </w:rPr>
        <w:t>:</w:t>
      </w:r>
      <w:r w:rsidR="0083319A" w:rsidRPr="00797252">
        <w:t xml:space="preserve"> </w:t>
      </w:r>
    </w:p>
    <w:p w:rsidR="009024B4" w:rsidRDefault="009024B4" w:rsidP="00D9771C">
      <w:pPr>
        <w:pStyle w:val="BlockText"/>
      </w:pPr>
    </w:p>
    <w:p w:rsidR="009024B4" w:rsidRDefault="009024B4" w:rsidP="00D9771C">
      <w:pPr>
        <w:pStyle w:val="BlockText"/>
      </w:pPr>
      <w:r>
        <w:tab/>
      </w:r>
      <w:r w:rsidRPr="009024B4">
        <w:rPr>
          <w:i/>
          <w:u w:val="single"/>
        </w:rPr>
        <w:t>Robert Wood, P. E. v. The Florida Board of Professional Engineers</w:t>
      </w:r>
      <w:r>
        <w:t xml:space="preserve">, DOAH Case No. 12-2900 RU, Final Order issued on February 20, 2013: An engineer's challenge to board's imposition </w:t>
      </w:r>
      <w:r>
        <w:lastRenderedPageBreak/>
        <w:t>of a "project review" as a condition of probation was found not to be a statement of general applicability that would require the board to adopt it as a rule.</w:t>
      </w:r>
    </w:p>
    <w:p w:rsidR="009024B4" w:rsidRDefault="009024B4" w:rsidP="00D9771C">
      <w:pPr>
        <w:pStyle w:val="BlockText"/>
      </w:pPr>
      <w:r>
        <w:t>NOTE: This order is based on the evidence that such condition of probation had been "used sparingly," so this board will probably not engage in the rulemaking process in order to put such a condition in a rule (or, cease using this as a condition to probation, if they don't have statutory authority for such as rule).</w:t>
      </w:r>
    </w:p>
    <w:p w:rsidR="004E142A" w:rsidRDefault="004E142A" w:rsidP="00D9771C">
      <w:pPr>
        <w:pStyle w:val="BlockText"/>
      </w:pPr>
    </w:p>
    <w:p w:rsidR="004E7067" w:rsidRDefault="004E142A" w:rsidP="004E142A">
      <w:pPr>
        <w:pStyle w:val="BlockText"/>
        <w:rPr>
          <w:b/>
        </w:rPr>
      </w:pPr>
      <w:r w:rsidRPr="00D9771C">
        <w:rPr>
          <w:b/>
          <w:u w:val="single"/>
        </w:rPr>
        <w:t>Agency Actions:</w:t>
      </w:r>
      <w:r>
        <w:rPr>
          <w:b/>
        </w:rPr>
        <w:t xml:space="preserve"> </w:t>
      </w:r>
    </w:p>
    <w:p w:rsidR="004E7067" w:rsidRDefault="004E7067" w:rsidP="004E142A">
      <w:pPr>
        <w:pStyle w:val="BlockText"/>
        <w:rPr>
          <w:b/>
        </w:rPr>
      </w:pPr>
    </w:p>
    <w:p w:rsidR="004E142A" w:rsidRPr="005B2CCD" w:rsidRDefault="004E142A" w:rsidP="004E7067">
      <w:pPr>
        <w:pStyle w:val="BlockText"/>
        <w:ind w:firstLine="360"/>
        <w:rPr>
          <w:b/>
        </w:rPr>
      </w:pPr>
      <w:r>
        <w:rPr>
          <w:b/>
        </w:rPr>
        <w:t>It is important to note that t</w:t>
      </w:r>
      <w:r>
        <w:t>he legislature passed Chapter 2012-116</w:t>
      </w:r>
      <w:r w:rsidRPr="003B5B30">
        <w:t xml:space="preserve">, effective July 1, 2012, overturning the Florida Supreme Court decision in </w:t>
      </w:r>
      <w:r w:rsidRPr="003B5B30">
        <w:rPr>
          <w:i/>
          <w:u w:val="single"/>
        </w:rPr>
        <w:t>Whiley v. Scott</w:t>
      </w:r>
      <w:r w:rsidRPr="003B5B30">
        <w:t xml:space="preserve"> </w:t>
      </w:r>
      <w:r>
        <w:t xml:space="preserve">by </w:t>
      </w:r>
      <w:r w:rsidRPr="00D85984">
        <w:t>confirming the Governor’s authority to require agencies and boards to “freeze” rule making</w:t>
      </w:r>
      <w:r>
        <w:t xml:space="preserve">, </w:t>
      </w:r>
      <w:r w:rsidRPr="00D85984">
        <w:rPr>
          <w:rFonts w:asciiTheme="majorHAnsi" w:hAnsiTheme="majorHAnsi" w:cstheme="majorHAnsi"/>
        </w:rPr>
        <w:t>a</w:t>
      </w:r>
      <w:r>
        <w:rPr>
          <w:rFonts w:asciiTheme="majorHAnsi" w:eastAsia="Times New Roman" w:hAnsiTheme="majorHAnsi" w:cstheme="majorHAnsi"/>
        </w:rPr>
        <w:t>ffirming</w:t>
      </w:r>
      <w:r w:rsidRPr="00D85984">
        <w:rPr>
          <w:rFonts w:asciiTheme="majorHAnsi" w:eastAsia="Times New Roman" w:hAnsiTheme="majorHAnsi" w:cstheme="majorHAnsi"/>
        </w:rPr>
        <w:t xml:space="preserve"> that Executive Orders 11-72 &amp; 11-211</w:t>
      </w:r>
      <w:r>
        <w:rPr>
          <w:rFonts w:asciiTheme="majorHAnsi" w:eastAsia="Times New Roman" w:hAnsiTheme="majorHAnsi" w:cstheme="majorHAnsi"/>
        </w:rPr>
        <w:t>, creating the Governor's Office of Fiscal Accountability and Regulatory Reform ("OFFAR"),</w:t>
      </w:r>
      <w:r w:rsidRPr="00D85984">
        <w:rPr>
          <w:rFonts w:asciiTheme="majorHAnsi" w:eastAsia="Times New Roman" w:hAnsiTheme="majorHAnsi" w:cstheme="majorHAnsi"/>
        </w:rPr>
        <w:t xml:space="preserve">are consistent with law &amp; public policy of this state, and </w:t>
      </w:r>
      <w:r>
        <w:rPr>
          <w:rFonts w:asciiTheme="majorHAnsi" w:eastAsia="Times New Roman" w:hAnsiTheme="majorHAnsi" w:cstheme="majorHAnsi"/>
        </w:rPr>
        <w:t>providing</w:t>
      </w:r>
      <w:r w:rsidRPr="00D85984">
        <w:rPr>
          <w:rFonts w:asciiTheme="majorHAnsi" w:eastAsia="Times New Roman" w:hAnsiTheme="majorHAnsi" w:cstheme="majorHAnsi"/>
        </w:rPr>
        <w:t xml:space="preserve"> for removal of duplicative, redundant, or unused rulemaking authority</w:t>
      </w:r>
      <w:r>
        <w:rPr>
          <w:rFonts w:asciiTheme="majorHAnsi" w:eastAsia="Times New Roman" w:hAnsiTheme="majorHAnsi" w:cstheme="majorHAnsi"/>
        </w:rPr>
        <w:t xml:space="preserve">. As a direct result, all new proposed rules and amendments to rules must now be submitted to OFFAR prior to becoming effective. </w:t>
      </w:r>
    </w:p>
    <w:p w:rsidR="004E142A" w:rsidRDefault="004E142A" w:rsidP="004E142A">
      <w:pPr>
        <w:pStyle w:val="BlockText"/>
      </w:pPr>
    </w:p>
    <w:p w:rsidR="004E142A" w:rsidRDefault="004E142A" w:rsidP="004E142A">
      <w:pPr>
        <w:pStyle w:val="BlockText"/>
        <w:numPr>
          <w:ilvl w:val="0"/>
          <w:numId w:val="30"/>
        </w:numPr>
      </w:pPr>
      <w:r>
        <w:rPr>
          <w:b/>
        </w:rPr>
        <w:t xml:space="preserve">Department of </w:t>
      </w:r>
      <w:r w:rsidRPr="0098369B">
        <w:rPr>
          <w:b/>
        </w:rPr>
        <w:t>Business and Professional Regulation</w:t>
      </w:r>
      <w:r>
        <w:rPr>
          <w:b/>
        </w:rPr>
        <w:t>.</w:t>
      </w:r>
    </w:p>
    <w:p w:rsidR="004E142A" w:rsidRDefault="004E142A" w:rsidP="004E142A">
      <w:pPr>
        <w:pStyle w:val="BlockText"/>
        <w:ind w:left="720"/>
      </w:pPr>
    </w:p>
    <w:p w:rsidR="004E142A" w:rsidRDefault="004E142A" w:rsidP="004E142A">
      <w:pPr>
        <w:pStyle w:val="BlockText"/>
        <w:numPr>
          <w:ilvl w:val="0"/>
          <w:numId w:val="32"/>
        </w:numPr>
        <w:rPr>
          <w:b/>
        </w:rPr>
      </w:pPr>
      <w:r w:rsidRPr="00936542">
        <w:rPr>
          <w:u w:val="single"/>
        </w:rPr>
        <w:t>Construction Industry Licensing Board</w:t>
      </w:r>
      <w:r>
        <w:t xml:space="preserve"> – Chapter 489, Part I, FS and Chapter 61G4 FAC: </w:t>
      </w:r>
    </w:p>
    <w:p w:rsidR="004E142A" w:rsidRPr="002F16B3" w:rsidRDefault="004E142A" w:rsidP="004E142A">
      <w:pPr>
        <w:pStyle w:val="BlockText"/>
        <w:ind w:left="1080"/>
        <w:rPr>
          <w:b/>
        </w:rPr>
      </w:pPr>
    </w:p>
    <w:p w:rsidR="004E142A" w:rsidRDefault="004E142A" w:rsidP="00760E2D">
      <w:pPr>
        <w:pStyle w:val="BlockText"/>
        <w:numPr>
          <w:ilvl w:val="1"/>
          <w:numId w:val="32"/>
        </w:numPr>
      </w:pPr>
      <w:r>
        <w:t>This board proposed to adopt or amend the following rules (if any)</w:t>
      </w:r>
      <w:r w:rsidR="00B754FE">
        <w:t>:</w:t>
      </w:r>
    </w:p>
    <w:p w:rsidR="00B754FE" w:rsidRDefault="00B754FE" w:rsidP="00B754FE">
      <w:pPr>
        <w:pStyle w:val="BlockText"/>
        <w:ind w:left="1800"/>
      </w:pPr>
    </w:p>
    <w:p w:rsidR="00B754FE" w:rsidRDefault="00B754FE" w:rsidP="00B754FE">
      <w:pPr>
        <w:pStyle w:val="BlockText"/>
        <w:numPr>
          <w:ilvl w:val="2"/>
          <w:numId w:val="32"/>
        </w:numPr>
      </w:pPr>
      <w:r>
        <w:t>Notice of Change has been published regarding Rule 61G4-12.011, removing the work "tunnels" from the definition in subsection (9).</w:t>
      </w:r>
    </w:p>
    <w:p w:rsidR="00B754FE" w:rsidRDefault="00B754FE" w:rsidP="00B754FE">
      <w:pPr>
        <w:pStyle w:val="BlockText"/>
        <w:ind w:left="2520"/>
      </w:pPr>
    </w:p>
    <w:p w:rsidR="00B754FE" w:rsidRDefault="00B754FE" w:rsidP="00B754FE">
      <w:pPr>
        <w:pStyle w:val="BlockText"/>
        <w:numPr>
          <w:ilvl w:val="2"/>
          <w:numId w:val="32"/>
        </w:numPr>
      </w:pPr>
      <w:r>
        <w:t>Notice of Change has been published regarding Rule 561G4-18.001(g), regarding approval of continuing education courses allowing Division I contractors to certify plans and specifications for compliance with wind resistance provisions for one and two family dwellings with the building code.</w:t>
      </w:r>
    </w:p>
    <w:p w:rsidR="00B754FE" w:rsidRDefault="00B754FE" w:rsidP="00B754FE">
      <w:pPr>
        <w:pStyle w:val="BlockText"/>
        <w:ind w:left="2520"/>
      </w:pPr>
    </w:p>
    <w:p w:rsidR="00B754FE" w:rsidRDefault="00B754FE" w:rsidP="00B754FE">
      <w:pPr>
        <w:pStyle w:val="BlockText"/>
        <w:numPr>
          <w:ilvl w:val="2"/>
          <w:numId w:val="32"/>
        </w:numPr>
      </w:pPr>
      <w:r>
        <w:t>New rule 61G4-15.035, providing for certification of irrigation specialty contractors, became effective on February 11, 2013.</w:t>
      </w:r>
    </w:p>
    <w:p w:rsidR="00B754FE" w:rsidRDefault="00B754FE" w:rsidP="00B754FE">
      <w:pPr>
        <w:pStyle w:val="BlockText"/>
        <w:ind w:left="2520"/>
      </w:pPr>
    </w:p>
    <w:p w:rsidR="00B754FE" w:rsidRDefault="00B754FE" w:rsidP="00B754FE">
      <w:pPr>
        <w:pStyle w:val="BlockText"/>
        <w:numPr>
          <w:ilvl w:val="2"/>
          <w:numId w:val="32"/>
        </w:numPr>
      </w:pPr>
      <w:r>
        <w:t>New rule 61G4-15.038, providing for certification of building demolition contractors, became effective on February 11, 2013.</w:t>
      </w:r>
    </w:p>
    <w:p w:rsidR="00760E2D" w:rsidRDefault="00760E2D" w:rsidP="00760E2D">
      <w:pPr>
        <w:pStyle w:val="BlockText"/>
        <w:ind w:left="1800"/>
      </w:pPr>
    </w:p>
    <w:p w:rsidR="004E142A" w:rsidRDefault="004E142A" w:rsidP="004E142A">
      <w:pPr>
        <w:pStyle w:val="BlockText"/>
        <w:numPr>
          <w:ilvl w:val="1"/>
          <w:numId w:val="32"/>
        </w:numPr>
      </w:pPr>
      <w:r>
        <w:t>This Board proposes to repeal the following rules (if any): None.</w:t>
      </w:r>
    </w:p>
    <w:p w:rsidR="004E142A" w:rsidRDefault="004E142A" w:rsidP="004E142A">
      <w:pPr>
        <w:pStyle w:val="BlockText"/>
      </w:pPr>
    </w:p>
    <w:p w:rsidR="004E142A" w:rsidRDefault="004E142A" w:rsidP="004E142A">
      <w:pPr>
        <w:pStyle w:val="BlockText"/>
        <w:numPr>
          <w:ilvl w:val="1"/>
          <w:numId w:val="32"/>
        </w:numPr>
      </w:pPr>
      <w:r>
        <w:t>This board has received or disposed of the following Petitions for Declaratory Statement (if any):</w:t>
      </w:r>
    </w:p>
    <w:p w:rsidR="00760E2D" w:rsidRDefault="00760E2D" w:rsidP="00760E2D">
      <w:pPr>
        <w:pStyle w:val="BlockText"/>
        <w:ind w:left="1800"/>
      </w:pPr>
    </w:p>
    <w:p w:rsidR="00760E2D" w:rsidRDefault="00760E2D" w:rsidP="00760E2D">
      <w:pPr>
        <w:pStyle w:val="BlockText"/>
        <w:numPr>
          <w:ilvl w:val="2"/>
          <w:numId w:val="32"/>
        </w:numPr>
      </w:pPr>
      <w:r>
        <w:t>Team Pin Enterprises, Inc., seeking a determination of whether experience building concrete skate parks will qualify for a certified specially license.</w:t>
      </w:r>
    </w:p>
    <w:p w:rsidR="008C23E6" w:rsidRDefault="008C23E6" w:rsidP="008C23E6">
      <w:pPr>
        <w:pStyle w:val="BlockText"/>
        <w:ind w:left="2520"/>
      </w:pPr>
    </w:p>
    <w:p w:rsidR="00760E2D" w:rsidRDefault="008C23E6" w:rsidP="00760E2D">
      <w:pPr>
        <w:pStyle w:val="BlockText"/>
        <w:numPr>
          <w:ilvl w:val="2"/>
          <w:numId w:val="32"/>
        </w:numPr>
      </w:pPr>
      <w:r>
        <w:t>Order entered on January 3, 2013, finding that Lightening Investigations was required to have an air conditioning license to investigate the cause and origin of damages to HVAC units.</w:t>
      </w:r>
    </w:p>
    <w:p w:rsidR="008C23E6" w:rsidRDefault="008C23E6" w:rsidP="008C23E6">
      <w:pPr>
        <w:pStyle w:val="BlockText"/>
        <w:ind w:left="2520"/>
      </w:pPr>
    </w:p>
    <w:p w:rsidR="00B754FE" w:rsidRDefault="008C23E6" w:rsidP="00B754FE">
      <w:pPr>
        <w:pStyle w:val="BlockText"/>
        <w:numPr>
          <w:ilvl w:val="2"/>
          <w:numId w:val="32"/>
        </w:numPr>
      </w:pPr>
      <w:r>
        <w:t>Order entered on January 3, 2013, finding that Dennis J. Haggerty did not need a license to work on medium, low, and ultralow temperature equipment for the U. S. Government where such appliances are designed to be plugged in to an electrical socket and is not otherwise part of the structure</w:t>
      </w:r>
      <w:r w:rsidR="00B754FE">
        <w:t>.</w:t>
      </w:r>
    </w:p>
    <w:p w:rsidR="00F07308" w:rsidRDefault="00F07308" w:rsidP="00F07308">
      <w:pPr>
        <w:pStyle w:val="BlockText"/>
        <w:ind w:left="2520"/>
      </w:pPr>
    </w:p>
    <w:p w:rsidR="00B754FE" w:rsidRDefault="00B754FE" w:rsidP="00B754FE">
      <w:pPr>
        <w:pStyle w:val="BlockText"/>
        <w:numPr>
          <w:ilvl w:val="2"/>
          <w:numId w:val="32"/>
        </w:numPr>
      </w:pPr>
      <w:r>
        <w:t xml:space="preserve">Order entered on February 14, 2013, finding that Clean Air Concepts </w:t>
      </w:r>
      <w:r w:rsidR="00F07308">
        <w:t>needs a sheet metal contractor's license to perform exhaust systems installations.</w:t>
      </w:r>
    </w:p>
    <w:p w:rsidR="00F07308" w:rsidRDefault="00F07308" w:rsidP="00F07308">
      <w:pPr>
        <w:pStyle w:val="BlockText"/>
        <w:ind w:left="2520"/>
      </w:pPr>
    </w:p>
    <w:p w:rsidR="00F07308" w:rsidRDefault="00F07308" w:rsidP="00B754FE">
      <w:pPr>
        <w:pStyle w:val="BlockText"/>
        <w:numPr>
          <w:ilvl w:val="2"/>
          <w:numId w:val="32"/>
        </w:numPr>
      </w:pPr>
      <w:r>
        <w:t>Barry M. Conley, seeking a determination of the need for a plumbing license for the removal and replacement of dishwasher appliances.</w:t>
      </w:r>
    </w:p>
    <w:p w:rsidR="004E142A" w:rsidRDefault="004E142A" w:rsidP="004E142A">
      <w:pPr>
        <w:pStyle w:val="BlockText"/>
      </w:pPr>
    </w:p>
    <w:p w:rsidR="004E142A" w:rsidRDefault="004E142A" w:rsidP="004E142A">
      <w:pPr>
        <w:pStyle w:val="BlockText"/>
        <w:numPr>
          <w:ilvl w:val="1"/>
          <w:numId w:val="32"/>
        </w:numPr>
      </w:pPr>
      <w:r>
        <w:t>This board has received or disposed of the following Petitions for Va</w:t>
      </w:r>
      <w:r w:rsidR="008C23E6">
        <w:t>riance or Waiver (if any):</w:t>
      </w:r>
    </w:p>
    <w:p w:rsidR="008C23E6" w:rsidRDefault="008C23E6" w:rsidP="008C23E6">
      <w:pPr>
        <w:pStyle w:val="BlockText"/>
        <w:ind w:left="1080"/>
      </w:pPr>
    </w:p>
    <w:p w:rsidR="008C23E6" w:rsidRDefault="008C23E6" w:rsidP="008C23E6">
      <w:pPr>
        <w:pStyle w:val="BlockText"/>
        <w:numPr>
          <w:ilvl w:val="2"/>
          <w:numId w:val="32"/>
        </w:numPr>
      </w:pPr>
      <w:r>
        <w:t>Travis S. Bonnett, seeking a permanent variance or waiver from Rule 61G4-16.005, FAC, limiting the period a passing grade for certification is valid to 4 years.</w:t>
      </w:r>
    </w:p>
    <w:p w:rsidR="008C23E6" w:rsidRDefault="008C23E6" w:rsidP="008C23E6">
      <w:pPr>
        <w:pStyle w:val="BlockText"/>
        <w:ind w:left="2520"/>
      </w:pPr>
    </w:p>
    <w:p w:rsidR="008C23E6" w:rsidRDefault="008C23E6" w:rsidP="008C23E6">
      <w:pPr>
        <w:pStyle w:val="BlockText"/>
        <w:numPr>
          <w:ilvl w:val="2"/>
          <w:numId w:val="32"/>
        </w:numPr>
      </w:pPr>
      <w:r>
        <w:t>Toney Coker, also seeking a permanent variance or waiver from Rule 61G4-16.005, FAC, limiting the period a passing grade for certification is valid to 4 years.</w:t>
      </w:r>
    </w:p>
    <w:p w:rsidR="008C23E6" w:rsidRDefault="008C23E6" w:rsidP="008C23E6">
      <w:pPr>
        <w:pStyle w:val="BlockText"/>
        <w:ind w:left="2520"/>
      </w:pPr>
    </w:p>
    <w:p w:rsidR="008C23E6" w:rsidRDefault="008C23E6" w:rsidP="008C23E6">
      <w:pPr>
        <w:pStyle w:val="BlockText"/>
        <w:numPr>
          <w:ilvl w:val="2"/>
          <w:numId w:val="32"/>
        </w:numPr>
      </w:pPr>
      <w:r>
        <w:t>Andre Peez, seeking a permanent variance or waiver from Rule 61G4-16.005, FAC, limiting the period a passing grade for certification is valid to 4 years.</w:t>
      </w:r>
    </w:p>
    <w:p w:rsidR="00B754FE" w:rsidRDefault="00B754FE" w:rsidP="00B754FE">
      <w:pPr>
        <w:pStyle w:val="BlockText"/>
        <w:ind w:left="2520"/>
      </w:pPr>
    </w:p>
    <w:p w:rsidR="00B754FE" w:rsidRDefault="00B754FE" w:rsidP="00B754FE">
      <w:pPr>
        <w:pStyle w:val="BlockText"/>
        <w:numPr>
          <w:ilvl w:val="2"/>
          <w:numId w:val="32"/>
        </w:numPr>
      </w:pPr>
      <w:r>
        <w:t>Dana Sturgeon, seeking a permanent variance or waiver from Rule 61G4-16.005, FAC, limiting the period a passing grade for certification is valid to 4 years.</w:t>
      </w:r>
    </w:p>
    <w:p w:rsidR="00B754FE" w:rsidRDefault="00B754FE" w:rsidP="00B754FE">
      <w:pPr>
        <w:pStyle w:val="BlockText"/>
        <w:ind w:left="2520"/>
      </w:pPr>
    </w:p>
    <w:p w:rsidR="008C23E6" w:rsidRDefault="008C23E6" w:rsidP="008C23E6">
      <w:pPr>
        <w:pStyle w:val="BlockText"/>
        <w:numPr>
          <w:ilvl w:val="2"/>
          <w:numId w:val="32"/>
        </w:numPr>
      </w:pPr>
      <w:r>
        <w:t>Mark C. Fetherman, seeking a variance or waiver from Rule 61G4-12.009(11)(a), requiring a delinquency fee of $100 for late license renewal.</w:t>
      </w:r>
    </w:p>
    <w:p w:rsidR="004E142A" w:rsidRDefault="004E142A" w:rsidP="004E142A">
      <w:pPr>
        <w:jc w:val="both"/>
      </w:pPr>
    </w:p>
    <w:p w:rsidR="00F07308" w:rsidRDefault="004E142A" w:rsidP="00F07308">
      <w:pPr>
        <w:pStyle w:val="BlockText"/>
        <w:numPr>
          <w:ilvl w:val="0"/>
          <w:numId w:val="32"/>
        </w:numPr>
      </w:pPr>
      <w:r w:rsidRPr="00F07308">
        <w:rPr>
          <w:u w:val="single"/>
        </w:rPr>
        <w:t>Electrical Contracting Licensing Board</w:t>
      </w:r>
      <w:r>
        <w:t xml:space="preserve"> (includes both electricians and alarm contractors) – Chapter 489, Part II, FS and 61G6, FAC: </w:t>
      </w:r>
    </w:p>
    <w:p w:rsidR="009E2A70" w:rsidRDefault="009E2A70" w:rsidP="009E2A70">
      <w:pPr>
        <w:pStyle w:val="BlockText"/>
        <w:ind w:left="1080"/>
      </w:pPr>
    </w:p>
    <w:p w:rsidR="00F07308" w:rsidRDefault="009E2A70" w:rsidP="009E2A70">
      <w:pPr>
        <w:pStyle w:val="BlockText"/>
        <w:numPr>
          <w:ilvl w:val="1"/>
          <w:numId w:val="32"/>
        </w:numPr>
      </w:pPr>
      <w:r>
        <w:t xml:space="preserve">This board proposed to adopt or amend the following rules (if any): </w:t>
      </w:r>
      <w:r w:rsidR="00F07308">
        <w:t>Proposed amendment to Rule 61G6-9.004 to add one (1) hour of rules and laws to the continuing education requirements for electrical and alarm contractors (effective September 1, 2014)</w:t>
      </w:r>
    </w:p>
    <w:p w:rsidR="00F07308" w:rsidRDefault="00F07308" w:rsidP="00F07308">
      <w:pPr>
        <w:pStyle w:val="BlockText"/>
      </w:pPr>
    </w:p>
    <w:p w:rsidR="004E142A" w:rsidRDefault="004E142A" w:rsidP="00F07308"/>
    <w:p w:rsidR="004E142A" w:rsidRDefault="004E142A" w:rsidP="009E2A70">
      <w:pPr>
        <w:pStyle w:val="BlockText"/>
        <w:numPr>
          <w:ilvl w:val="1"/>
          <w:numId w:val="32"/>
        </w:numPr>
      </w:pPr>
      <w:r>
        <w:t xml:space="preserve">This board has received or disposed of the following Petitions for Declaratory Statement (if any): </w:t>
      </w:r>
      <w:r w:rsidR="009E2A70">
        <w:t>I</w:t>
      </w:r>
      <w:r w:rsidR="00F07308">
        <w:t>ssued a Final Order on February 8, 2013 (DS 2012-098) in response to Convergys Customer Management Group, Inc., that an alarm contractor's license is required for employees of a telemarketing firm to solicit the same of burglar alarm systems.</w:t>
      </w:r>
    </w:p>
    <w:p w:rsidR="004E142A" w:rsidRDefault="004E142A" w:rsidP="009E2A70"/>
    <w:p w:rsidR="004E142A" w:rsidRDefault="004E142A" w:rsidP="004E142A">
      <w:pPr>
        <w:pStyle w:val="BlockText"/>
        <w:numPr>
          <w:ilvl w:val="1"/>
          <w:numId w:val="32"/>
        </w:numPr>
      </w:pPr>
      <w:r>
        <w:t xml:space="preserve">This board has received or disposed of the following Petitions for </w:t>
      </w:r>
      <w:r w:rsidR="009E2A70">
        <w:t>Variance or Waiver (if any): None.</w:t>
      </w:r>
    </w:p>
    <w:p w:rsidR="004E142A" w:rsidRDefault="004E142A" w:rsidP="004E142A">
      <w:pPr>
        <w:pStyle w:val="BlockText"/>
        <w:ind w:left="1800"/>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4E142A" w:rsidRDefault="004E142A" w:rsidP="009E2A70">
      <w:pPr>
        <w:pStyle w:val="BlockText"/>
        <w:numPr>
          <w:ilvl w:val="1"/>
          <w:numId w:val="32"/>
        </w:numPr>
      </w:pPr>
      <w:r>
        <w:t>This board proposed to adopt or amend the following rules (if any):</w:t>
      </w:r>
      <w:r w:rsidR="009E2A70">
        <w:t xml:space="preserve"> Rule 61G1-11.012 to remove the requirement for appointing Architecture and Interior Design Educational Advisory committees.</w:t>
      </w:r>
    </w:p>
    <w:p w:rsidR="004E142A" w:rsidRDefault="004E142A" w:rsidP="004E142A"/>
    <w:p w:rsidR="004E142A" w:rsidRDefault="004E142A" w:rsidP="004E142A">
      <w:pPr>
        <w:pStyle w:val="BlockText"/>
        <w:numPr>
          <w:ilvl w:val="1"/>
          <w:numId w:val="32"/>
        </w:numPr>
      </w:pPr>
      <w:r>
        <w:t xml:space="preserve">This board proposed the repeal of the following rules (if any): </w:t>
      </w:r>
      <w:r w:rsidR="009E2A70">
        <w:t>None.</w:t>
      </w:r>
    </w:p>
    <w:p w:rsidR="004E142A" w:rsidRDefault="004E142A" w:rsidP="004E142A">
      <w:pPr>
        <w:pStyle w:val="BlockText"/>
        <w:ind w:left="1800"/>
      </w:pPr>
      <w:r>
        <w:t xml:space="preserve"> </w:t>
      </w: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p>
    <w:p w:rsidR="004E142A" w:rsidRDefault="004E142A" w:rsidP="004E142A">
      <w:pPr>
        <w:pStyle w:val="ListParagraph"/>
      </w:pPr>
    </w:p>
    <w:p w:rsidR="004E142A" w:rsidRDefault="004E142A" w:rsidP="004E142A">
      <w:pPr>
        <w:pStyle w:val="BlockText"/>
        <w:numPr>
          <w:ilvl w:val="1"/>
          <w:numId w:val="32"/>
        </w:numPr>
      </w:pPr>
      <w:r>
        <w:t xml:space="preserve">This board has received or disposed of the following Petitions for Variance or Waiver (if any): </w:t>
      </w:r>
      <w:r w:rsidR="009E2A70">
        <w:t>None.</w:t>
      </w:r>
    </w:p>
    <w:p w:rsidR="004E142A" w:rsidRDefault="004E142A" w:rsidP="004E142A">
      <w:pPr>
        <w:pStyle w:val="BlockText"/>
        <w:ind w:left="1800"/>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9E2A70" w:rsidRDefault="004E142A" w:rsidP="009E2A70">
      <w:pPr>
        <w:ind w:left="1440"/>
      </w:pPr>
      <w:r>
        <w:t>a. This board proposed to adopt or amend the following rules (if any):</w:t>
      </w:r>
      <w:r w:rsidR="009E2A70">
        <w:t xml:space="preserve"> </w:t>
      </w:r>
    </w:p>
    <w:p w:rsidR="009E2A70" w:rsidRDefault="009E2A70" w:rsidP="009E2A70">
      <w:pPr>
        <w:ind w:left="1440"/>
      </w:pPr>
    </w:p>
    <w:p w:rsidR="004E142A" w:rsidRDefault="009E2A70" w:rsidP="009E2A70">
      <w:pPr>
        <w:ind w:left="2160"/>
      </w:pPr>
      <w:r>
        <w:t xml:space="preserve">i. </w:t>
      </w:r>
      <w:r w:rsidR="004E142A">
        <w:t>Rule 61G5-</w:t>
      </w:r>
      <w:r>
        <w:t>15-22.001 to delete the reference to continuing education requirements for reactivation of a license that has been inactive for more than one year.</w:t>
      </w:r>
    </w:p>
    <w:p w:rsidR="009E2A70" w:rsidRDefault="009E2A70" w:rsidP="009E2A70">
      <w:pPr>
        <w:ind w:left="2160"/>
      </w:pPr>
    </w:p>
    <w:p w:rsidR="009E2A70" w:rsidRDefault="009E2A70" w:rsidP="009E2A70">
      <w:pPr>
        <w:ind w:left="2160"/>
      </w:pPr>
      <w:r>
        <w:t xml:space="preserve">ii. Rule 61G15-20.007 regarding education requirements for applicants without EAC/ABET </w:t>
      </w:r>
      <w:r w:rsidR="00941C32">
        <w:t>accredited degrees became effective</w:t>
      </w:r>
      <w:r>
        <w:t xml:space="preserve"> on Feb</w:t>
      </w:r>
      <w:r w:rsidR="00941C32">
        <w:t xml:space="preserve">ruary </w:t>
      </w:r>
      <w:r>
        <w:t>4, 2013.</w:t>
      </w:r>
    </w:p>
    <w:p w:rsidR="00941C32" w:rsidRDefault="00941C32" w:rsidP="009E2A70">
      <w:pPr>
        <w:ind w:left="2160"/>
      </w:pPr>
    </w:p>
    <w:p w:rsidR="00941C32" w:rsidRDefault="00941C32" w:rsidP="00941C32">
      <w:pPr>
        <w:ind w:left="2160"/>
      </w:pPr>
      <w:r>
        <w:t>iii. Rule 61G15-35.003 regarding qualification program for special inspectors of threshold buildings became effect on February 4, 2013.</w:t>
      </w:r>
    </w:p>
    <w:p w:rsidR="004E142A" w:rsidRDefault="004E142A" w:rsidP="004E142A"/>
    <w:p w:rsidR="009E2A70" w:rsidRDefault="004E142A" w:rsidP="009E2A70">
      <w:r>
        <w:tab/>
      </w:r>
      <w:r>
        <w:tab/>
        <w:t>b. This board proposed to repeal the following rules (if any): None.</w:t>
      </w:r>
    </w:p>
    <w:p w:rsidR="009E2A70" w:rsidRDefault="009E2A70" w:rsidP="009E2A70"/>
    <w:p w:rsidR="009E2A70" w:rsidRDefault="009E2A70" w:rsidP="009E2A70">
      <w:pPr>
        <w:ind w:left="1440"/>
      </w:pPr>
      <w:r>
        <w:t>c. This board has received or disposed of the following Petitions for Declaratory Statement (if any): None.</w:t>
      </w:r>
    </w:p>
    <w:p w:rsidR="009E2A70" w:rsidRDefault="009E2A70" w:rsidP="009E2A70">
      <w:pPr>
        <w:ind w:left="1440"/>
      </w:pPr>
    </w:p>
    <w:p w:rsidR="009E2A70" w:rsidRDefault="009E2A70" w:rsidP="009E2A70">
      <w:pPr>
        <w:ind w:left="1440"/>
      </w:pPr>
      <w:r>
        <w:t>d. This board has received or disposed of the following Petitions for Variance or Waiver (if any): None.</w:t>
      </w:r>
    </w:p>
    <w:p w:rsidR="004E142A" w:rsidRDefault="004E142A" w:rsidP="009E2A70">
      <w:pPr>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4E142A" w:rsidP="009E2A70">
      <w:pPr>
        <w:pStyle w:val="BlockText"/>
        <w:numPr>
          <w:ilvl w:val="1"/>
          <w:numId w:val="32"/>
        </w:numPr>
      </w:pPr>
      <w:r>
        <w:t>This board proposed to adopt or amend the following rules (if any):</w:t>
      </w:r>
      <w:r w:rsidR="009E2A70">
        <w:t xml:space="preserve"> Published Notice of Withdrawal of proposed </w:t>
      </w:r>
      <w:r>
        <w:t xml:space="preserve">Rule </w:t>
      </w:r>
      <w:r w:rsidR="009E2A70">
        <w:t>61G19.9.004 regarding approval of courses with Office of State Fire Marshal.</w:t>
      </w:r>
    </w:p>
    <w:p w:rsidR="004E142A" w:rsidRDefault="004E142A" w:rsidP="004E142A">
      <w:pPr>
        <w:pStyle w:val="BlockText"/>
        <w:ind w:left="2520"/>
      </w:pPr>
    </w:p>
    <w:p w:rsidR="004E142A" w:rsidRDefault="004E142A" w:rsidP="004E142A">
      <w:pPr>
        <w:pStyle w:val="BlockText"/>
        <w:numPr>
          <w:ilvl w:val="1"/>
          <w:numId w:val="32"/>
        </w:numPr>
      </w:pPr>
      <w:r>
        <w:t xml:space="preserve">This board proposed to repeal the following rules (if any): </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p>
    <w:p w:rsidR="004E142A" w:rsidRDefault="004E142A" w:rsidP="004E142A">
      <w:pPr>
        <w:pStyle w:val="BlockText"/>
      </w:pPr>
    </w:p>
    <w:p w:rsidR="004E142A" w:rsidRDefault="004E142A" w:rsidP="004E142A">
      <w:pPr>
        <w:pStyle w:val="BlockText"/>
        <w:numPr>
          <w:ilvl w:val="1"/>
          <w:numId w:val="32"/>
        </w:numPr>
      </w:pPr>
      <w:r>
        <w:t xml:space="preserve">This board has received or disposed of the following Petitions for Variance or Waiver (if any): </w:t>
      </w:r>
    </w:p>
    <w:p w:rsidR="004E142A" w:rsidRPr="003134D3" w:rsidRDefault="004E142A" w:rsidP="004E142A">
      <w:pPr>
        <w:pStyle w:val="BlockText"/>
      </w:pPr>
    </w:p>
    <w:p w:rsidR="004E142A" w:rsidRDefault="004E142A" w:rsidP="00941C32">
      <w:pPr>
        <w:pStyle w:val="BlockText"/>
        <w:numPr>
          <w:ilvl w:val="0"/>
          <w:numId w:val="32"/>
        </w:numPr>
      </w:pPr>
      <w:r w:rsidRPr="003C50CC">
        <w:rPr>
          <w:u w:val="single"/>
        </w:rPr>
        <w:t>Florida Building Commission</w:t>
      </w:r>
      <w:r>
        <w:rPr>
          <w:rStyle w:val="FootnoteReference"/>
          <w:u w:val="single"/>
        </w:rPr>
        <w:footnoteReference w:id="1"/>
      </w:r>
      <w:r>
        <w:t xml:space="preserve"> – Chapter 553, Part IV and Chapter 61G20, FAC</w:t>
      </w:r>
      <w:r>
        <w:rPr>
          <w:rStyle w:val="FootnoteReference"/>
        </w:rPr>
        <w:footnoteReference w:id="2"/>
      </w:r>
      <w:r>
        <w:t>): The Commission has reviewed OVER 900 proposed code changes that have been proposed for the 2013 version of the Florida Building Code, and adopted many of those for inclusion in the new code, which will become effective next year.</w:t>
      </w:r>
    </w:p>
    <w:p w:rsidR="00941C32" w:rsidRDefault="00941C32" w:rsidP="00941C32">
      <w:pPr>
        <w:pStyle w:val="BlockText"/>
        <w:ind w:left="360"/>
      </w:pPr>
    </w:p>
    <w:p w:rsidR="004E142A" w:rsidRDefault="00941C32" w:rsidP="00941C32">
      <w:pPr>
        <w:pStyle w:val="BlockText"/>
        <w:ind w:left="720"/>
      </w:pPr>
      <w:r>
        <w:t xml:space="preserve">8. </w:t>
      </w:r>
      <w:r w:rsidRPr="00941C32">
        <w:rPr>
          <w:u w:val="single"/>
        </w:rPr>
        <w:t>DBPR/Home Inspectors:</w:t>
      </w:r>
      <w:r>
        <w:t xml:space="preserve"> Rules 61-30.102, .301, .302, .401, l.403 an d.501, have been notice for adoption. </w:t>
      </w:r>
    </w:p>
    <w:p w:rsidR="004E142A" w:rsidRDefault="004E142A" w:rsidP="004E142A">
      <w:pPr>
        <w:pStyle w:val="BlockText"/>
        <w:ind w:left="1080"/>
      </w:pPr>
    </w:p>
    <w:p w:rsidR="004E142A" w:rsidRPr="00383EFB" w:rsidRDefault="004E142A" w:rsidP="004E142A">
      <w:pPr>
        <w:pStyle w:val="BlockText"/>
        <w:numPr>
          <w:ilvl w:val="0"/>
          <w:numId w:val="30"/>
        </w:numPr>
        <w:rPr>
          <w:b/>
        </w:rPr>
      </w:pPr>
      <w:r w:rsidRPr="00383EFB">
        <w:rPr>
          <w:b/>
        </w:rPr>
        <w:t>Environmental Protection</w:t>
      </w:r>
      <w:r>
        <w:rPr>
          <w:b/>
        </w:rPr>
        <w:t>: To be determined.</w:t>
      </w:r>
    </w:p>
    <w:p w:rsidR="004E142A" w:rsidRPr="002E2A6D" w:rsidRDefault="004E142A" w:rsidP="004E142A">
      <w:pPr>
        <w:pStyle w:val="BlockText"/>
        <w:ind w:left="720"/>
      </w:pPr>
    </w:p>
    <w:p w:rsidR="004E142A" w:rsidRDefault="004E142A" w:rsidP="004E142A">
      <w:pPr>
        <w:pStyle w:val="BlockText"/>
        <w:numPr>
          <w:ilvl w:val="0"/>
          <w:numId w:val="30"/>
        </w:numPr>
        <w:rPr>
          <w:b/>
        </w:rPr>
      </w:pPr>
      <w:r w:rsidRPr="006577D7">
        <w:rPr>
          <w:b/>
        </w:rPr>
        <w:t>Health</w:t>
      </w:r>
      <w:r>
        <w:t xml:space="preserve">: </w:t>
      </w:r>
      <w:r w:rsidRPr="00922A6D">
        <w:rPr>
          <w:b/>
        </w:rPr>
        <w:t xml:space="preserve">Water Quality/Septic Tanks – Chapter 381 and 64E FAC: </w:t>
      </w:r>
      <w:r>
        <w:rPr>
          <w:b/>
        </w:rPr>
        <w:t xml:space="preserve">Chapter 2012-184, Laws of Florida, </w:t>
      </w:r>
      <w:r w:rsidRPr="000B0E17">
        <w:rPr>
          <w:b/>
          <w:u w:val="single"/>
        </w:rPr>
        <w:t>effective April 27, 2012</w:t>
      </w:r>
      <w:r>
        <w:rPr>
          <w:b/>
        </w:rPr>
        <w:t>, mad</w:t>
      </w:r>
      <w:r w:rsidRPr="00922A6D">
        <w:rPr>
          <w:b/>
        </w:rPr>
        <w:t>e</w:t>
      </w:r>
      <w:r>
        <w:rPr>
          <w:b/>
        </w:rPr>
        <w:t xml:space="preserve"> the following changes: </w:t>
      </w:r>
    </w:p>
    <w:p w:rsidR="004E142A" w:rsidRDefault="004E142A" w:rsidP="004E142A">
      <w:pPr>
        <w:pStyle w:val="ListParagraph"/>
      </w:pPr>
    </w:p>
    <w:p w:rsidR="004E142A" w:rsidRDefault="004E142A" w:rsidP="004E142A">
      <w:pPr>
        <w:pStyle w:val="BlockText"/>
        <w:ind w:left="720"/>
      </w:pPr>
      <w:r>
        <w:t>1. 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4E142A" w:rsidP="004E142A">
      <w:pPr>
        <w:pStyle w:val="BlockText"/>
        <w:ind w:left="720"/>
        <w:rPr>
          <w:b/>
        </w:rPr>
      </w:pPr>
      <w:r w:rsidRPr="00913DE9">
        <w:t>2.</w:t>
      </w:r>
      <w:r>
        <w:rPr>
          <w:b/>
        </w:rPr>
        <w:t xml:space="preserve"> </w:t>
      </w:r>
      <w:r>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 have opted to implement such a program at this time.</w:t>
      </w:r>
    </w:p>
    <w:p w:rsidR="004E142A" w:rsidRDefault="004E142A" w:rsidP="004E142A">
      <w:pPr>
        <w:pStyle w:val="ListParagraph"/>
      </w:pPr>
    </w:p>
    <w:p w:rsidR="004E142A" w:rsidRDefault="004E142A" w:rsidP="004E142A">
      <w:pPr>
        <w:pStyle w:val="BlockText"/>
        <w:numPr>
          <w:ilvl w:val="0"/>
          <w:numId w:val="30"/>
        </w:numPr>
      </w:pPr>
      <w:r w:rsidRPr="00251EB1">
        <w:rPr>
          <w:b/>
        </w:rPr>
        <w:t>Financial Services</w:t>
      </w:r>
      <w:r>
        <w:t xml:space="preserve">: Workers’ Compensation Insurance – Chapter 440 and 69L FAC: </w:t>
      </w:r>
    </w:p>
    <w:p w:rsidR="004E142A" w:rsidRDefault="004E142A" w:rsidP="004E142A">
      <w:pPr>
        <w:pStyle w:val="BlockText"/>
        <w:ind w:left="720"/>
      </w:pPr>
      <w:r>
        <w:t>]</w:t>
      </w:r>
    </w:p>
    <w:p w:rsidR="004E142A" w:rsidRDefault="004E142A" w:rsidP="004E142A">
      <w:pPr>
        <w:pStyle w:val="BlockText"/>
        <w:ind w:left="360"/>
      </w:pPr>
      <w:r w:rsidRPr="0029168D">
        <w:rPr>
          <w:b/>
          <w:u w:val="single"/>
        </w:rPr>
        <w:t>NEW 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4E142A" w:rsidP="004E142A">
      <w:pPr>
        <w:pStyle w:val="BlockText"/>
        <w:ind w:left="360"/>
        <w:rPr>
          <w:b/>
          <w:i/>
          <w:u w:val="single"/>
        </w:rPr>
      </w:pPr>
      <w:r w:rsidRPr="003C265E">
        <w:rPr>
          <w:b/>
          <w:i/>
          <w:u w:val="single"/>
        </w:rPr>
        <w:t>IMPORTANT UNDATE: Out-of-state applicants who do NOT have Florida driver’s license or identification card should submit their applications in hard copy for processing. This is a “glitch” in the new law, but the department is allowing this “fix” until the legislature has an opportunity to again change the statute.</w:t>
      </w:r>
    </w:p>
    <w:p w:rsidR="004E142A" w:rsidRDefault="004E142A" w:rsidP="004E142A">
      <w:pPr>
        <w:pStyle w:val="BlockText"/>
        <w:ind w:left="720"/>
        <w:rPr>
          <w:b/>
        </w:rPr>
      </w:pPr>
    </w:p>
    <w:p w:rsidR="004E142A" w:rsidRDefault="004E142A" w:rsidP="004E142A">
      <w:pPr>
        <w:pStyle w:val="BlockText"/>
        <w:ind w:left="36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4E142A" w:rsidRDefault="004E142A" w:rsidP="004E142A">
      <w:pPr>
        <w:pStyle w:val="BlockText"/>
        <w:ind w:left="360"/>
      </w:pPr>
    </w:p>
    <w:p w:rsidR="004E142A" w:rsidRDefault="004E142A" w:rsidP="004E142A">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4E142A" w:rsidRPr="00797252" w:rsidRDefault="004E142A" w:rsidP="00D9771C">
      <w:pPr>
        <w:pStyle w:val="BlockText"/>
      </w:pPr>
    </w:p>
    <w:p w:rsidR="00940447" w:rsidRPr="00797252" w:rsidRDefault="00940447" w:rsidP="00D9771C">
      <w:pPr>
        <w:pStyle w:val="BlockText"/>
      </w:pPr>
    </w:p>
    <w:p w:rsidR="006E3B26" w:rsidRDefault="00CF37B7" w:rsidP="002B78B0">
      <w:pPr>
        <w:pStyle w:val="BlockText"/>
      </w:pPr>
      <w:r w:rsidRPr="00CD02EB">
        <w:rPr>
          <w:b/>
          <w:u w:val="single"/>
        </w:rPr>
        <w:t>Legislative Action:</w:t>
      </w:r>
      <w:r w:rsidR="00156092">
        <w:t xml:space="preserve"> </w:t>
      </w:r>
      <w:r w:rsidR="006E3B26">
        <w:t>The regularly schedule legislati</w:t>
      </w:r>
      <w:r w:rsidR="007F63B9">
        <w:t xml:space="preserve">ve session, which is 60 calendar days, began on </w:t>
      </w:r>
      <w:r w:rsidR="006E3B26">
        <w:t>Marc</w:t>
      </w:r>
      <w:r w:rsidR="007F63B9">
        <w:t>h 3, 2013, and all bills to be considered must have been filed by noon of that date. The status of the following</w:t>
      </w:r>
      <w:r w:rsidR="008B64BE">
        <w:t xml:space="preserve"> </w:t>
      </w:r>
      <w:r w:rsidR="00C02420">
        <w:t xml:space="preserve">95 </w:t>
      </w:r>
      <w:r w:rsidR="006E3B26">
        <w:t>construc</w:t>
      </w:r>
      <w:r w:rsidR="008B64BE">
        <w:t xml:space="preserve">tion-related bills </w:t>
      </w:r>
      <w:r w:rsidR="007F63B9">
        <w:t>are reported as of Thursday, March 7</w:t>
      </w:r>
      <w:r w:rsidR="006E3B26">
        <w:t>, 2013:</w:t>
      </w:r>
    </w:p>
    <w:p w:rsidR="008B64BE" w:rsidRDefault="008B64BE" w:rsidP="002B78B0">
      <w:pPr>
        <w:pStyle w:val="BlockText"/>
      </w:pPr>
    </w:p>
    <w:tbl>
      <w:tblPr>
        <w:tblW w:w="4900" w:type="pct"/>
        <w:jc w:val="center"/>
        <w:tblCellSpacing w:w="0" w:type="dxa"/>
        <w:tblCellMar>
          <w:top w:w="10" w:type="dxa"/>
          <w:left w:w="10" w:type="dxa"/>
          <w:bottom w:w="10" w:type="dxa"/>
          <w:right w:w="10" w:type="dxa"/>
        </w:tblCellMar>
        <w:tblLook w:val="04A0"/>
      </w:tblPr>
      <w:tblGrid>
        <w:gridCol w:w="998"/>
        <w:gridCol w:w="4989"/>
        <w:gridCol w:w="1994"/>
        <w:gridCol w:w="998"/>
        <w:gridCol w:w="99"/>
        <w:gridCol w:w="132"/>
        <w:gridCol w:w="132"/>
        <w:gridCol w:w="133"/>
      </w:tblGrid>
      <w:tr w:rsidR="00C02420" w:rsidTr="00C02420">
        <w:trPr>
          <w:tblCellSpacing w:w="0" w:type="dxa"/>
          <w:jc w:val="center"/>
        </w:trPr>
        <w:tc>
          <w:tcPr>
            <w:tcW w:w="0" w:type="auto"/>
            <w:gridSpan w:val="8"/>
            <w:vAlign w:val="center"/>
            <w:hideMark/>
          </w:tcPr>
          <w:tbl>
            <w:tblPr>
              <w:tblW w:w="5000" w:type="pct"/>
              <w:tblCellSpacing w:w="0" w:type="dxa"/>
              <w:tblCellMar>
                <w:top w:w="10" w:type="dxa"/>
                <w:left w:w="10" w:type="dxa"/>
                <w:bottom w:w="10" w:type="dxa"/>
                <w:right w:w="10" w:type="dxa"/>
              </w:tblCellMar>
              <w:tblLook w:val="04A0"/>
            </w:tblPr>
            <w:tblGrid>
              <w:gridCol w:w="8522"/>
              <w:gridCol w:w="933"/>
            </w:tblGrid>
            <w:tr w:rsidR="00C02420">
              <w:trPr>
                <w:tblCellSpacing w:w="0" w:type="dxa"/>
              </w:trPr>
              <w:tc>
                <w:tcPr>
                  <w:tcW w:w="0" w:type="auto"/>
                  <w:shd w:val="clear" w:color="auto" w:fill="003366"/>
                  <w:tcMar>
                    <w:top w:w="30" w:type="dxa"/>
                    <w:left w:w="50" w:type="dxa"/>
                    <w:bottom w:w="30" w:type="dxa"/>
                    <w:right w:w="50" w:type="dxa"/>
                  </w:tcMar>
                  <w:vAlign w:val="center"/>
                  <w:hideMark/>
                </w:tcPr>
                <w:p w:rsidR="00C02420" w:rsidRDefault="00C02420">
                  <w:pPr>
                    <w:rPr>
                      <w:rFonts w:ascii="Arial" w:hAnsi="Arial" w:cs="Arial"/>
                      <w:b/>
                      <w:bCs/>
                      <w:color w:val="FFFFFF"/>
                      <w:sz w:val="13"/>
                      <w:szCs w:val="13"/>
                    </w:rPr>
                  </w:pPr>
                  <w:r>
                    <w:rPr>
                      <w:rFonts w:ascii="Arial" w:hAnsi="Arial" w:cs="Arial"/>
                      <w:b/>
                      <w:bCs/>
                      <w:color w:val="FFFFFF"/>
                      <w:sz w:val="13"/>
                      <w:szCs w:val="13"/>
                    </w:rPr>
                    <w:t xml:space="preserve">2013 Bills (95) </w:t>
                  </w:r>
                </w:p>
              </w:tc>
              <w:tc>
                <w:tcPr>
                  <w:tcW w:w="0" w:type="auto"/>
                  <w:shd w:val="clear" w:color="auto" w:fill="003366"/>
                  <w:tcMar>
                    <w:top w:w="30" w:type="dxa"/>
                    <w:left w:w="50" w:type="dxa"/>
                    <w:bottom w:w="30" w:type="dxa"/>
                    <w:right w:w="50" w:type="dxa"/>
                  </w:tcMar>
                  <w:vAlign w:val="center"/>
                  <w:hideMark/>
                </w:tcPr>
                <w:p w:rsidR="00C02420" w:rsidRDefault="00C02420">
                  <w:pPr>
                    <w:jc w:val="right"/>
                    <w:rPr>
                      <w:rFonts w:ascii="Arial" w:hAnsi="Arial" w:cs="Arial"/>
                      <w:b/>
                      <w:bCs/>
                      <w:color w:val="FFFFFF"/>
                      <w:sz w:val="13"/>
                      <w:szCs w:val="13"/>
                    </w:rPr>
                  </w:pPr>
                </w:p>
              </w:tc>
            </w:tr>
          </w:tbl>
          <w:p w:rsidR="00C02420" w:rsidRDefault="00C02420">
            <w:pPr>
              <w:rPr>
                <w:rFonts w:ascii="Arial" w:hAnsi="Arial" w:cs="Arial"/>
                <w:sz w:val="13"/>
                <w:szCs w:val="13"/>
              </w:rPr>
            </w:pPr>
          </w:p>
        </w:tc>
      </w:tr>
      <w:tr w:rsidR="00C02420" w:rsidTr="00C02420">
        <w:trPr>
          <w:tblCellSpacing w:w="0" w:type="dxa"/>
          <w:jc w:val="center"/>
        </w:trPr>
        <w:tc>
          <w:tcPr>
            <w:tcW w:w="500" w:type="pct"/>
            <w:shd w:val="clear" w:color="auto" w:fill="EEEEEE"/>
            <w:vAlign w:val="center"/>
            <w:hideMark/>
          </w:tcPr>
          <w:p w:rsidR="00C02420" w:rsidRDefault="00C02420">
            <w:pPr>
              <w:rPr>
                <w:rFonts w:ascii="Arial" w:hAnsi="Arial" w:cs="Arial"/>
                <w:b/>
                <w:bCs/>
                <w:color w:val="000000"/>
                <w:sz w:val="13"/>
                <w:szCs w:val="13"/>
              </w:rPr>
            </w:pPr>
            <w:r>
              <w:rPr>
                <w:rFonts w:ascii="Arial" w:hAnsi="Arial" w:cs="Arial"/>
                <w:b/>
                <w:bCs/>
                <w:color w:val="000000"/>
                <w:sz w:val="13"/>
                <w:szCs w:val="13"/>
              </w:rPr>
              <w:t>Num</w:t>
            </w:r>
          </w:p>
        </w:tc>
        <w:tc>
          <w:tcPr>
            <w:tcW w:w="2500" w:type="pct"/>
            <w:shd w:val="clear" w:color="auto" w:fill="EEEEEE"/>
            <w:vAlign w:val="center"/>
            <w:hideMark/>
          </w:tcPr>
          <w:p w:rsidR="00C02420" w:rsidRDefault="00C02420">
            <w:pPr>
              <w:rPr>
                <w:rFonts w:ascii="Arial" w:hAnsi="Arial" w:cs="Arial"/>
                <w:b/>
                <w:bCs/>
                <w:color w:val="000000"/>
                <w:sz w:val="13"/>
                <w:szCs w:val="13"/>
              </w:rPr>
            </w:pPr>
            <w:r>
              <w:rPr>
                <w:rFonts w:ascii="Arial" w:hAnsi="Arial" w:cs="Arial"/>
                <w:b/>
                <w:bCs/>
                <w:color w:val="000000"/>
                <w:sz w:val="13"/>
                <w:szCs w:val="13"/>
              </w:rPr>
              <w:t>Title</w:t>
            </w:r>
          </w:p>
        </w:tc>
        <w:tc>
          <w:tcPr>
            <w:tcW w:w="1000" w:type="pct"/>
            <w:shd w:val="clear" w:color="auto" w:fill="EEEEEE"/>
            <w:vAlign w:val="center"/>
            <w:hideMark/>
          </w:tcPr>
          <w:p w:rsidR="00C02420" w:rsidRDefault="00C02420">
            <w:pPr>
              <w:rPr>
                <w:rFonts w:ascii="Arial" w:hAnsi="Arial" w:cs="Arial"/>
                <w:b/>
                <w:bCs/>
                <w:color w:val="000000"/>
                <w:sz w:val="13"/>
                <w:szCs w:val="13"/>
              </w:rPr>
            </w:pPr>
            <w:r>
              <w:rPr>
                <w:rFonts w:ascii="Arial" w:hAnsi="Arial" w:cs="Arial"/>
                <w:b/>
                <w:bCs/>
                <w:color w:val="000000"/>
                <w:sz w:val="13"/>
                <w:szCs w:val="13"/>
              </w:rPr>
              <w:t>Sponsor</w:t>
            </w:r>
          </w:p>
        </w:tc>
        <w:tc>
          <w:tcPr>
            <w:tcW w:w="500" w:type="pct"/>
            <w:shd w:val="clear" w:color="auto" w:fill="EEEEEE"/>
            <w:vAlign w:val="center"/>
            <w:hideMark/>
          </w:tcPr>
          <w:p w:rsidR="00C02420" w:rsidRDefault="00C02420">
            <w:pPr>
              <w:rPr>
                <w:rFonts w:ascii="Arial" w:hAnsi="Arial" w:cs="Arial"/>
                <w:b/>
                <w:bCs/>
                <w:color w:val="000000"/>
                <w:sz w:val="13"/>
                <w:szCs w:val="13"/>
              </w:rPr>
            </w:pPr>
          </w:p>
        </w:tc>
        <w:tc>
          <w:tcPr>
            <w:tcW w:w="50" w:type="pct"/>
            <w:shd w:val="clear" w:color="auto" w:fill="EEEEEE"/>
            <w:vAlign w:val="center"/>
            <w:hideMark/>
          </w:tcPr>
          <w:p w:rsidR="00C02420" w:rsidRDefault="00C02420">
            <w:pPr>
              <w:rPr>
                <w:rFonts w:ascii="Arial" w:hAnsi="Arial" w:cs="Arial"/>
                <w:b/>
                <w:bCs/>
                <w:color w:val="000000"/>
                <w:sz w:val="13"/>
                <w:szCs w:val="13"/>
              </w:rPr>
            </w:pPr>
          </w:p>
        </w:tc>
        <w:tc>
          <w:tcPr>
            <w:tcW w:w="200" w:type="pct"/>
            <w:gridSpan w:val="3"/>
            <w:shd w:val="clear" w:color="auto" w:fill="EEEEEE"/>
            <w:vAlign w:val="center"/>
            <w:hideMark/>
          </w:tcPr>
          <w:p w:rsidR="00C02420" w:rsidRDefault="00C02420">
            <w:pPr>
              <w:rPr>
                <w:rFonts w:ascii="Arial" w:hAnsi="Arial" w:cs="Arial"/>
                <w:b/>
                <w:bCs/>
                <w:color w:val="000000"/>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0021</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Background Screening for Noninstructional Contractors on School Grounds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Perry</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0318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Background Screening for Noninstructional Contractors on School Grounds: Requires DOE to create uniform, statewide identification badge to be worn by noninstructional contractors signifying that contractor has met specified requirements; requires school district issuance &amp; recognition of identification badge.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12/05/12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6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K-12 Subcommittee; Education Appropriations Subcommittee; Education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59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K-12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0047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Firesafety Devices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Hooper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0264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Firesafety Devices: Requires certain battery-operated smoke alarms to meet specified standards; provides for applicability.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12/18/12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7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Insurance &amp; Banking Subcommittee; Business &amp; Professional Regulation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Insurance &amp; Banking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5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Insurance &amp; Banking Subcommittee, 02/13/13, 9:00 am,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9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Insurance &amp; Banking Subcommittee; 12 Yeas, 1 Nay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85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Business &amp; Professional Regulation Subcommittee, 03/12/13, 1:00 pm, 12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0057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Department of Business and Professional Regulation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Porter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1462</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0802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Department of Business and Professional Regulation: Clarifies funding requirements for Florida Homeowners' Construction Recovery Fund; authorizes DBPR to transfer certain funds from Florida Building Code Administrators &amp; Inspectors Board to Florida Homeowners' Construction Recovery Fund.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12/20/12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8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Business &amp; Professional Regulation Subcommittee; Government Operations Appropriations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85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Business &amp; Professional Regulation Subcommittee, 02/06/13, 2:00 pm, 12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40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Business &amp; Professional Regulation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Appropriations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0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Government Operations Appropriations Subcommittee, 03/07/13, 1:00 pm, 17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5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Government Operations Appropriations Subcommittee; 11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(C2)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0063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Carbon Monoxide Alarms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Richardson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0116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Carbon Monoxide Alarms: Directs DOE to require K-12 public school facilities to install carbon monoxide alarms.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12/21/12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6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K-12 Subcommittee; Education Appropriations Subcommittee; Education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59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K-12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0073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Residential Properties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Moraitis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0175</w:t>
            </w:r>
            <w:r>
              <w:rPr>
                <w:rFonts w:ascii="Arial" w:hAnsi="Arial" w:cs="Arial"/>
                <w:sz w:val="10"/>
                <w:szCs w:val="10"/>
              </w:rPr>
              <w:t xml:space="preserve"> </w:t>
            </w:r>
            <w:r w:rsidRPr="00291F13">
              <w:rPr>
                <w:rFonts w:ascii="Arial" w:hAnsi="Arial" w:cs="Arial"/>
                <w:sz w:val="10"/>
                <w:szCs w:val="10"/>
              </w:rPr>
              <w:t>1207</w:t>
            </w:r>
            <w:r>
              <w:rPr>
                <w:rFonts w:ascii="Arial" w:hAnsi="Arial" w:cs="Arial"/>
                <w:sz w:val="10"/>
                <w:szCs w:val="10"/>
              </w:rPr>
              <w:t xml:space="preserve"> </w:t>
            </w:r>
            <w:r w:rsidRPr="00291F13">
              <w:rPr>
                <w:rFonts w:ascii="Arial" w:hAnsi="Arial" w:cs="Arial"/>
                <w:sz w:val="10"/>
                <w:szCs w:val="10"/>
              </w:rPr>
              <w:t>7025</w:t>
            </w:r>
            <w:r>
              <w:rPr>
                <w:rFonts w:ascii="Arial" w:hAnsi="Arial" w:cs="Arial"/>
                <w:sz w:val="10"/>
                <w:szCs w:val="10"/>
              </w:rPr>
              <w:t xml:space="preserve"> </w:t>
            </w:r>
            <w:r w:rsidRPr="00291F13">
              <w:rPr>
                <w:rFonts w:ascii="Arial" w:hAnsi="Arial" w:cs="Arial"/>
                <w:sz w:val="10"/>
                <w:szCs w:val="10"/>
              </w:rPr>
              <w:t>0120</w:t>
            </w:r>
            <w:r>
              <w:rPr>
                <w:rFonts w:ascii="Arial" w:hAnsi="Arial" w:cs="Arial"/>
                <w:sz w:val="10"/>
                <w:szCs w:val="10"/>
              </w:rPr>
              <w:t xml:space="preserve"> </w:t>
            </w:r>
            <w:r w:rsidRPr="00291F13">
              <w:rPr>
                <w:rFonts w:ascii="Arial" w:hAnsi="Arial" w:cs="Arial"/>
                <w:sz w:val="10"/>
                <w:szCs w:val="10"/>
              </w:rPr>
              <w:t>0580</w:t>
            </w:r>
            <w:r>
              <w:rPr>
                <w:rFonts w:ascii="Arial" w:hAnsi="Arial" w:cs="Arial"/>
                <w:sz w:val="10"/>
                <w:szCs w:val="10"/>
              </w:rPr>
              <w:t xml:space="preserve"> </w:t>
            </w:r>
            <w:r w:rsidRPr="00291F13">
              <w:rPr>
                <w:rFonts w:ascii="Arial" w:hAnsi="Arial" w:cs="Arial"/>
                <w:sz w:val="10"/>
                <w:szCs w:val="10"/>
              </w:rPr>
              <w:t>0696</w:t>
            </w:r>
            <w:r>
              <w:rPr>
                <w:rFonts w:ascii="Arial" w:hAnsi="Arial" w:cs="Arial"/>
                <w:sz w:val="10"/>
                <w:szCs w:val="10"/>
              </w:rPr>
              <w:t xml:space="preserve"> </w:t>
            </w:r>
            <w:r w:rsidRPr="00291F13">
              <w:rPr>
                <w:rFonts w:ascii="Arial" w:hAnsi="Arial" w:cs="Arial"/>
                <w:sz w:val="10"/>
                <w:szCs w:val="10"/>
              </w:rPr>
              <w:t>1618</w:t>
            </w:r>
            <w:r>
              <w:rPr>
                <w:rFonts w:ascii="Arial" w:hAnsi="Arial" w:cs="Arial"/>
                <w:sz w:val="10"/>
                <w:szCs w:val="10"/>
              </w:rPr>
              <w:t xml:space="preserve"> </w:t>
            </w:r>
            <w:r w:rsidRPr="00291F13">
              <w:rPr>
                <w:rFonts w:ascii="Arial" w:hAnsi="Arial" w:cs="Arial"/>
                <w:sz w:val="10"/>
                <w:szCs w:val="10"/>
              </w:rPr>
              <w:t>1746</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0436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Residential Properties: Exempts certain elevators from specific code update requirements; revises specified supervision &amp; regulation exemptions for homeowners' association swimming pools; requires community association to allow member or member's representative to use certain portable devices to make electronic copies of association records; revises provisions relating to association's power to purchase land or recreational lease; revises terms of members of association's board of administrators &amp; revises eligibility criteria for candidates; revises condominium unit owner election &amp; condominium association meeting notice &amp; recordkeeping requirements; provides requirements for condominiums relating to election challenges, recalls, &amp; installation of impact glass or other code-compliant windows; provides requirements for condominiums created within condominium parcels; revises provisions relating to imposing remedies; revises liability of unit owners; provides liability limitations of certain first mortgagee or its successor or assignees; revises records not accessible to members or parcel owners; revises provisions relating to amendment of declarations; provides criteria for consent to amendment; requires notice to mortgagees regarding proposed amendments.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12/28/12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3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Civil Justice Subcommittee; Business &amp; Professional Regulation Subcommittee; Judiciary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Civil Justice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15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Civil Justice Subcommittee, 02/07/13, 8:00 am, 404 H - PCS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3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Civil Justice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85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Business &amp; Professional Regulation Subcommittee, 03/07/13, 1:00 pm, 12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40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Business &amp; Professional Regulation Subcommittee; 10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(C2)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0084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Public-private Partnerships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Diaz de la Portilla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0238</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0085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Public-private Partnerships; Providing legislative findings and intent relating to the construction or improvement by private entities of facilities used predominantly for a public purpose; providing for notice to affected local jurisdictions; providing for comprehensive agreements between a public and a private entity; providing for financing sources for certain projects by a private entity; providing for the applicability of sovereign immunity for public entities with respect to qualified projects,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11/29/12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12/05/12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Governmental Oversight and Accountability;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Community Affairs, 01/23/13, 4:00 pm,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5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Community Affairs;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(C1) Text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8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Governmental Oversight and Accountability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0085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Public-Private Partnerships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Steube</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0238</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0084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Public-Private Partnerships: Provides legislative findings &amp; intent relating to construction or improvement by private entities of facilities used predominantly for public purposes; provides for procurement procedures, requirements for project approval, project qualifications &amp; process, notice to affected local jurisdictions, comprehensive agreements between public &amp; private entities, use fees, financing sources for certain projects by private entities, &amp; applicability of sovereign immunity for public entities with respect to qualified projects.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Appropriations 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44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Government Operations Subcommittee, 03/06/13, 10:00 am, 212 K</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3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Government Operations Subcommittee; 11 Yeas, 1 Nay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0087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Mortgage Foreclosures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Passidomo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1666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Mortgage Foreclosures: Revises limitations period for commencing action to enforce claim of deficiency judgment after foreclosure action; provides for applicability to existing causes of action; specifies required contents of complaint seeking to foreclose on certain types of residential properties; authorizes sanctions against plaintiffs who fail to comply with complaint requirements; requires court to treat collateral attack on final judgment of foreclosure on mortgage as claim for monetary damages; prohibits court from granting certain relief affecting title to foreclosed property; provides for construction relating to rights of certain persons to seek relief or pursue claims against foreclosed property; limits amount of deficiency judgment; revises class of persons authorized to move for expedited foreclosure; provides requirements &amp; procedures with respect to order directed to defendants to show cause; provides failures by defendant to make filings or appearances may have legal consequences; requires court to enter final judgment of foreclosure &amp; order foreclosure sale; provides for liability of persons who wrongly claim to be holders of or entitled to enforce a lost, stolen, or destroyed note &amp; cause mortgage secured thereby to be foreclosed.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Civil Justice Subcommittee; Justice Appropriations Subcommittee; Judiciary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Civil Justice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Civil Justice Subcommittee, 02/07/13, 8:00 am,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by Civil Justice Subcommittee; 10 Yeas, 3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6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Justice Appropriations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Justice Appropriations Subcommittee, 03/06/13, 1:30 pm, 17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3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by Justice Appropriations Subcommittee; 9 Yeas, 2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62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Judiciary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0090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 Contracts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Smith (C)</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01/15/13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0507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 Contracts; Requiring all state contracts of more than a certain amount to require call-center services to be staffed by persons located within the United States,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12/05/12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17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12/06/12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Commerce and Tourism; Governmental Oversight and Accountability;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3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Commerce and Tourism, 01/15/13, 10:00 am,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9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Commerce and Tourism; 10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8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Governmental Oversight and Accountability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0109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Consumptive Use Permits for Development of Alternative Water Supplies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Young</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0364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Consumptive Use Permits for Development of Alternative Water Supplies: Specifies conditions for issuance of permits; provides for issuance, extension, &amp; review of permits approved after specified date.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1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Agriculture &amp; Natural Resources Subcommittee;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Agriculture &amp; Natural Resources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Agriculture &amp; Natural Resources Subcommittee, 02/12/13, 1:30 pm, 102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by Agriculture &amp; Natural Resources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7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6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State Affairs Committee, 03/07/13, 9:00 am, 17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2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State Affairs Committee; 16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0112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Filing False Documents Against Real or Personal Property</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Dean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 xml:space="preserve">0915 </w:t>
            </w:r>
            <w:r>
              <w:rPr>
                <w:rFonts w:ascii="Arial" w:hAnsi="Arial" w:cs="Arial"/>
                <w:sz w:val="10"/>
                <w:szCs w:val="10"/>
              </w:rPr>
              <w:t>)</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Filing False Documents Against Real or Personal Property; Prohibiting a person from filing or causing to be filed, with intent to defraud another, a document relating to the ownership, transfer, or encumbrance of or claim against real or personal property, or any interest in real or personal property, which the person knows contains a material misstatement or misrepresentations; establishing reclassified penalties that increase criminal penalties for persons who commit the specified offenses a second or more times, who are convicted offenders who commit unlawful acts while incarcerated in a jail or participating in community correctional programs, and when the victim of the offense is a public officer or employee under certain circumstances, etc.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12/13/12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2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Judiciary; Criminal Justice;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Judiciary, 03/06/13, 2:00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5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Judiciary;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0120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Condominiums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Latvala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0073</w:t>
            </w:r>
            <w:r>
              <w:rPr>
                <w:rFonts w:ascii="Arial" w:hAnsi="Arial" w:cs="Arial"/>
                <w:sz w:val="10"/>
                <w:szCs w:val="10"/>
              </w:rPr>
              <w:t xml:space="preserve"> </w:t>
            </w:r>
            <w:r w:rsidRPr="00291F13">
              <w:rPr>
                <w:rFonts w:ascii="Arial" w:hAnsi="Arial" w:cs="Arial"/>
                <w:sz w:val="10"/>
                <w:szCs w:val="10"/>
              </w:rPr>
              <w:t>0436</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0175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Condominiums; Allowing condominium units to come into existence regardless of requirements or restrictions in a declaration; extending the amount of time that a clerk of the circuit court may hold a sum of money before notifying the registered agent of an association that the sum is still available and the purpose for which it was deposited; changing the requirements relating to the circumstances under which a declaration of condominium or other documents are effective to create a condominium; revising the conditions under which a developer may amend a declaration of condominium governing a phase condominium; providing for an extension of the 7-year period for the completion of a phase, etc.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12/14/12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Judiciary;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Regulated Industries, 01/24/13, 10:30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5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Regulated Industries; 8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15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Judiciary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Judiciary, 03/12/13, 2:00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0149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Safe Work Environments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Campbell</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01/23/13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0308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Safe Work Environments: Creates "Safe Work Environment Act"; provides findings &amp; intent; provides that subjecting employee to abusive work environment is unlawful employment practice; prohibits retaliating against employee who has opposed any unlawful employment practice, or who has made charge, testified, assisted, or participated in any manner in investigation or proceeding concerning such claim; provides for vicarious liability for employers in certain circumstances; provides defense; provides for liability for individual employees in certain circumstances; provides defense; provides affirmative defenses; specifies relief available; limits employer's liability for emotional distress &amp; precludes punitive damages in certain circumstances; specifies that provisions may only be enforced by private right of action; provides time limitation on actions; provides that remedies provided shall be in addition to &amp; not in place of other remedies provided in law; provides for screening certain persons public &amp; private school entering instructional areas.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2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Government Operations Subcommittee; Civil Justice Subcommittee; Appropriations 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0156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Swimming Pools and Spas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Detert</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0737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Swimming Pools and Spas;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July 1, 2014</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9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Regulated Industries;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Community Affairs, 03/07/13, 8:00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5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Community Affairs;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0181</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Works Projects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Van Zant</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01/23/13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1118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Works Projects: Prohibits state &amp; political subdivisions that contract for construction, maintenance, repair, or improvement of public works from imposing certain conditions on certain contractors, subcontractors, material suppliers, or carriers; provides exception; prohibits state &amp; political subdivisions from restricting qualified bidders from submitting bids, being awarded any bid or contract, or performing work on public works project; revises filing requirements for written protests to contract solicitations or awards.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79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Government Operations Subcommittee; Local &amp; Federal Affairs Committee; Government Operations Appropriations Subcommittee;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0183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Stormwater Management Permits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Raulerson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01/23/13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0934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Stormwater Management Permits: Authorizes municipalities &amp; counties to adopt stormwater adaptive management plans &amp; obtain conceptual permits for urban redevelopment projects; provides requirements for establishment of such permits by water management districts in consultation with DEP; provides that certain urban redevelopment projects qualify for noticed general permit; provides summary hearing requirements for challenges to consolidated environmental resource permits or associated variances or sovereign submerged lands authorizations proposed or issued by DEP in connection with specified deepwater ports.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Agriculture &amp; Natural Resources Subcommittee; Agriculture &amp; Natural Resources Appropriations Subcommittee;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Agriculture &amp; Natural Resources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0201</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Renovation of Educational Facilities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Zimmerman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01/23/13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1088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Renovation of Educational Facilities: Requires school districts, state universities, &amp; Florida College System institutions to retrofit doors &amp; windows of educational facilities to comply with certain Florida Building Code standards; provides additional requirements; provides for funding through capital outlay funds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8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K-12 Subcommittee; Higher Education and Workforce Subcommittee; Appropriations Committee; Education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59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K-12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0238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Public-private Partnerships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Flores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0085</w:t>
            </w:r>
            <w:r>
              <w:rPr>
                <w:rFonts w:ascii="Arial" w:hAnsi="Arial" w:cs="Arial"/>
                <w:sz w:val="10"/>
                <w:szCs w:val="10"/>
              </w:rPr>
              <w:t xml:space="preserve"> </w:t>
            </w:r>
            <w:r w:rsidRPr="00291F13">
              <w:rPr>
                <w:rFonts w:ascii="Arial" w:hAnsi="Arial" w:cs="Arial"/>
                <w:sz w:val="10"/>
                <w:szCs w:val="10"/>
              </w:rPr>
              <w:t>0084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Public-private Partnerships; Providing legislative findings and intent relating to the construction or upgrade of facilities by private entities which are used predominately for a public purpose; requiring public entities to develop and adopt guidelines governing procedures and criteria for the selection of projects and public-private agreements; providing for financing from private sources and public entities; providing for the applicability of sovereign immunity for public entities with respect to qualified projects,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01/09/13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88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Judiciary; Governmental Oversight and Accountability; Appropriations Subcommittee on Education;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0242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Interstate Insurance Product Regulation Compact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Hukill</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0383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Interstate Insurance Product Regulation Compact; Providing for establishment of an Interstate Insurance Product Regulation Commission; specifying the commission as an instrumentality of the compacting states; designating the Commissioner of Insurance Regulation as the representative of this state on the commission; providing for qualified immunity, defense, and indemnification of members, officers, employees, and representatives of the commission; specifying that certain records, data, or information of the commission in possession of the Office of Insurance Regulation is subject to ch. 119, F.S., etc.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12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Banking and Insurance; Governmental Oversight and Accountability;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0247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Paper Reduction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Nelson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1260</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1352</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L:</w:t>
            </w:r>
            <w:r>
              <w:rPr>
                <w:rFonts w:ascii="Arial" w:hAnsi="Arial" w:cs="Arial"/>
                <w:sz w:val="10"/>
                <w:szCs w:val="10"/>
              </w:rPr>
              <w:t xml:space="preserve"> </w:t>
            </w:r>
            <w:r w:rsidRPr="00291F13">
              <w:rPr>
                <w:rFonts w:ascii="Arial" w:hAnsi="Arial" w:cs="Arial"/>
                <w:sz w:val="10"/>
                <w:szCs w:val="10"/>
              </w:rPr>
              <w:t>0249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Paper Reduction: Authorizes use of electronic mail &amp; use of electronic notices relating to statewide voter registration applications, to supply sample ballots, transmittal of ordinances &amp; amendments from county commissioners to Department of State, &amp; by value adjustment boards, property appraisers, licensed bail bond agents, &amp; certain bond provisions.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6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Local &amp; Federal Affairs Committee; Regulatory Affairs 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Government Operations Subcommittee, 03/06/13, 10:00 am, 212 K - PCS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8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Government Operations Subcommittee; 13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3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Reference to Regulatory Affairs Committee removed; Remaining references: Local &amp; Federal Affairs 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24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Local &amp; Federal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0248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Treatment Programs for Impaired Licensees and Applicants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Thrasher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0349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Treatment Programs for Impaired Licensees and Applicants; Authorizing the Department of Business and Professional Regulation to require a person licensed by or applying for a license from the department to comply with provisions governing treatment programs for impaired practitioners as if the licensee or applicant were under the jurisdiction of the Division of Medical Quality Assurance within the Department of Health; providing that the impaired practitioner consultant is the official custodian of records relating to the referral of the licensee or applicant to the consultant and any other interaction between them,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5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Health Policy; Regulated Industries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0264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Firesafety Devices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02/12/13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0047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Firesafety Devices; Requiring certain battery-operated smoke alarms to meet specified standards,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88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Commerce and Tourism; Governmental Oversight and Accountability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Community Affairs, 02/06/13, 10:30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Community Affairs; 8 Yeas, 1 Nay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83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Commerce and Tourism</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0267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Real Property Liens and Conveyances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Wood</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0404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Real Property Liens and Conveyances: Deletes requirement that blank spaces be included on warranty deed to allow for entry of social security numbers of grantees on deed; provides that certain types of governmental or quasi-governmental liens on real property are valid &amp; effectual against creditors &amp; purchasers only if recorded in specified manner.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6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Civil Justice Subcommittee; Local &amp; Federal Affairs Committee; Judiciary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Civil Justice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Civil Justice Subcommittee, 02/13/13, 2:00 pm,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by Civil Justice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24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Local &amp; Federal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8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Local and Federal Affairs Committee, 03/07/13, 4:00 pm, 212 K</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7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Local and Federal Affairs Committee; 17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0269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Construction Projects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Beshears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1080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Construction Projects; Requires state agencies to use certain building rating systems &amp; building codes for each new construction &amp; renovation project; requires governmental entities to specify certain products associated with public works projects.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6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Energy &amp; Utilities Subcommittee; Government Operations Appropriations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1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Energy &amp; Utilities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08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Energy &amp; Utilities Subcommittee, 02/19/13, 9:00 am, 212 K</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3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Energy &amp; Utilities Subcommittee; 12 Yeas, 1 Nay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Appropriations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0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Government Operations Appropriations Subcommittee, 03/12/13, 1:00 pm, 17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0286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Design Professionals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Negron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0575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Design Professionals; Redefining the term “design professional”; specifying conditions under which a design professional employed by a business entity or an agent of the business entity may not be held individually liable for damages resulting from negligence occurring within the course and scope of a professional services contract,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9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Judiciary;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Regulated Industries, 02/06/13, 3:00 pm,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8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Regulated Industries; 8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15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Judiciary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Judiciary, 03/06/13, 2:00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5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Judiciary; 7 Yeas, 2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57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0307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Preference in Award of State Contracts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Tobia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1017</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0684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Preference in Award of State Contracts: Expands provisions that require agency, university, college, school district, or other political subdivision to provide preferential consideration to Florida business in awarding competitively bid contracts to purchase personal property to include purchase of construction services; requires counties &amp; municipalities to provide such preferential consideration; provides that for specified competitive solicitations authority to grant preference supersedes local ordinances &amp; regulations that restrict specified contractors from competing for an award based upon certain conditions; requires university, college, county, municipality, school district, or other political subdivision to make specified disclosures in competitive solicitation documents.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79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Government Operations Subcommittee; Local &amp; Federal Affairs Committee; Government Operations Appropriations Subcommittee;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44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Government Operations Subcommittee, 03/06/13, 10:00 am, 212 K</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8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Government Operations Subcommittee; 11 Yeas, 2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0326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Powers and Duties of the Department of Environmental Protection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4007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Powers and Duties of the Department of Environmental Protection; Removing an obsolete reference for purposes of calculating the reimbursement for transportation and utility crossings of greenways lands in Marion County; repealing s. 253.783(2), F.S., relating to additional powers and duties of the department to dispose of surplus lands that were for the construction, operation, or promotion of a canal across the peninsula of the state and refund payments to counties,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806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Environmental Preservation and Conservation; Communications, Energy, and Public Utilities;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Environmental Preservation and Conservation, 02/06/13, 3:00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0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Environmental Preservation and Conservation;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75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Communications, Energy, and Public Utilities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69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Communications, Energy, and Public Utilities, 03/06/13, 2:00 pm,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7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Communications, Energy, and Public Utilities;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Appropriations Subcommittee on General Government</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1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Appropriations Subcommittee on General Government, 03/13/13, 2:00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0343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Wrap-Up Insurance Policies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Hager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0810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Wrap-Up Insurance Policies: Provides that wrap-up insurance policies may include workers' compensation claim deductibles equal to or greater than specified amount if specified standards are met.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32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Insurance &amp; Banking Subcommittee; Government Operations Appropriations Subcommittee; Regulatory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Insurance &amp; Banking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5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Insurance &amp; Banking Subcommittee, 02/19/13, 3:00 pm,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9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Insurance &amp; Banking Subcommittee; 12 Yeas, 1 Nay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0344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Assault or Battery on a Utility Worker</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Soto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0511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Assault or Battery on a Utility Worker; Providing for reclassification of certain offenses committed against a utility worker, etc.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05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Communications, Energy, and Public Utilities; Criminal Justice; Appropriations Subcommittee on Criminal and Civil Justice;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0346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Electrical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Soto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01/18/13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Electrical Contracting; Authorizing municipalities and counties to require that the electrical journeyman who is present on certain industrial or commercial construction sites possess a certificate of competency,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7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0364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Consumptive Use Permits for Development of Alternative Water Supplies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0109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 xml:space="preserve">Consumptive Use Permits for Development of Alternative Water Supplies; Revising conditions for issuance of permits; providing for the issuance, extension, and review of permits approved on or after a certain date, etc. Effective Date: July 1, 2013 </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01/17/13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03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Environmental Preservation and Conservation; Community Affairs;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Environmental Preservation and Conservation, 02/06/13, 3:00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0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Environmental Preservation and Conservation;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57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Community Affairs, 02/21/13, 8:00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5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Community Affairs; 8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Appropriations Subcommittee on General Government</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17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Appropriations Subcommittee on General Government, 03/06/13, 10:30 am,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3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by Appropriations Subcommittee on General Government; 13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4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0375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Onsite Sewage Treatment and Disposal Systems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 xml:space="preserve">Roberson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1160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Onsite Sewage Treatment and Disposal Systems: Authorizes certain property owners to be approved &amp; permitted as maintenance entities for aerobic treatment unit systems under certain conditions; provides requirements for such maintenance entity service agreements; prohibits manufacturers from denying certain septic tank contractors access to aerobic treatment unit system training &amp; parts; authorizes certain replacement parts for aerobic treatment unit systems.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4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Agriculture &amp; Natural Resources Subcommittee; Health Quality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Agriculture &amp; Natural Resources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Agriculture &amp; Natural Resources Subcommittee, 02/20/13, 9:00 am, 102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4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Agriculture &amp; Natural Resources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Health Quality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9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Health Quality Subcommittee, 03/12/13, 9:00 am, 306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0415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Brownfields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Hutson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0554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Brownfields: Revises definition of "housing project" for purpose of tax exemptions relating to building materials used in redevelopment projects; authorizes tax exemptions for substantial rehabilitation of affordable housing in designated brownfield area; revises procedures for designation of brownfield areas by local governments; provides relief of liability for property damages for entities that execute &amp; implement certain brownfield site rehabilitation agreements; provides for retroactive application of such liability relief to certain causes of action.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38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Economic Development &amp; Tourism Subcommittee; Local &amp; Federal Affairs Committee; Finance &amp; Tax Subcommittee; Economic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Economic Development &amp; Tourism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02/08/13, 1:30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20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02/15/13, 1:30 pm, 301 C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02/22/13, 1:45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03/01/13, 1:45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10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Economic Development &amp; Tourism Subcommittee, 03/06/13, 2:00 pm, 12 H - PCS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3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Economic Development &amp; Tourism Subcommittee; 13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0423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Tax On Sales, Use, &amp; Other Transactions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Adkins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0960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Tax On Sales, Use &amp; Other Transactions: Provides exception to sales tax for dyed diesel fuel used in vessels for commercial fishing &amp; aquacultural purposes; provides exception from sales tax collected by licensed sales tax dealer for dyed diesel fuel used in vessels for commercial fishing &amp; aquacultural purposes; provides sales tax exemption for dyed diesel fuel used in vessels for commercial fishing &amp; aquacultural purposes.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02/01/13, 9:00 am,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48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Agriculture &amp; Natural Resources Subcommittee; Finance &amp; Tax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Agriculture &amp; Natural Resources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Agriculture &amp; Natural Resources Subcommittee, 02/20/13, 9:00 am, 102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02/22/13, 1:45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4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Agriculture &amp; Natural Resources Subcommittee; 12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Finance &amp; Tax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0436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Residential Properties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Altman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0175</w:t>
            </w:r>
            <w:r>
              <w:rPr>
                <w:rFonts w:ascii="Arial" w:hAnsi="Arial" w:cs="Arial"/>
                <w:sz w:val="10"/>
                <w:szCs w:val="10"/>
              </w:rPr>
              <w:t xml:space="preserve"> </w:t>
            </w:r>
            <w:r w:rsidRPr="00291F13">
              <w:rPr>
                <w:rFonts w:ascii="Arial" w:hAnsi="Arial" w:cs="Arial"/>
                <w:sz w:val="10"/>
                <w:szCs w:val="10"/>
              </w:rPr>
              <w:t>1207</w:t>
            </w:r>
            <w:r>
              <w:rPr>
                <w:rFonts w:ascii="Arial" w:hAnsi="Arial" w:cs="Arial"/>
                <w:sz w:val="10"/>
                <w:szCs w:val="10"/>
              </w:rPr>
              <w:t xml:space="preserve"> </w:t>
            </w:r>
            <w:r w:rsidRPr="00291F13">
              <w:rPr>
                <w:rFonts w:ascii="Arial" w:hAnsi="Arial" w:cs="Arial"/>
                <w:sz w:val="10"/>
                <w:szCs w:val="10"/>
              </w:rPr>
              <w:t>7025</w:t>
            </w:r>
            <w:r>
              <w:rPr>
                <w:rFonts w:ascii="Arial" w:hAnsi="Arial" w:cs="Arial"/>
                <w:sz w:val="10"/>
                <w:szCs w:val="10"/>
              </w:rPr>
              <w:t xml:space="preserve"> </w:t>
            </w:r>
            <w:r w:rsidRPr="00291F13">
              <w:rPr>
                <w:rFonts w:ascii="Arial" w:hAnsi="Arial" w:cs="Arial"/>
                <w:sz w:val="10"/>
                <w:szCs w:val="10"/>
              </w:rPr>
              <w:t>0120</w:t>
            </w:r>
            <w:r>
              <w:rPr>
                <w:rFonts w:ascii="Arial" w:hAnsi="Arial" w:cs="Arial"/>
                <w:sz w:val="10"/>
                <w:szCs w:val="10"/>
              </w:rPr>
              <w:t xml:space="preserve"> </w:t>
            </w:r>
            <w:r w:rsidRPr="00291F13">
              <w:rPr>
                <w:rFonts w:ascii="Arial" w:hAnsi="Arial" w:cs="Arial"/>
                <w:sz w:val="10"/>
                <w:szCs w:val="10"/>
              </w:rPr>
              <w:t>0580</w:t>
            </w:r>
            <w:r>
              <w:rPr>
                <w:rFonts w:ascii="Arial" w:hAnsi="Arial" w:cs="Arial"/>
                <w:sz w:val="10"/>
                <w:szCs w:val="10"/>
              </w:rPr>
              <w:t xml:space="preserve"> </w:t>
            </w:r>
            <w:r w:rsidRPr="00291F13">
              <w:rPr>
                <w:rFonts w:ascii="Arial" w:hAnsi="Arial" w:cs="Arial"/>
                <w:sz w:val="10"/>
                <w:szCs w:val="10"/>
              </w:rPr>
              <w:t>0696</w:t>
            </w:r>
            <w:r>
              <w:rPr>
                <w:rFonts w:ascii="Arial" w:hAnsi="Arial" w:cs="Arial"/>
                <w:sz w:val="10"/>
                <w:szCs w:val="10"/>
              </w:rPr>
              <w:t xml:space="preserve"> </w:t>
            </w:r>
            <w:r w:rsidRPr="00291F13">
              <w:rPr>
                <w:rFonts w:ascii="Arial" w:hAnsi="Arial" w:cs="Arial"/>
                <w:sz w:val="10"/>
                <w:szCs w:val="10"/>
              </w:rPr>
              <w:t>1618</w:t>
            </w:r>
            <w:r>
              <w:rPr>
                <w:rFonts w:ascii="Arial" w:hAnsi="Arial" w:cs="Arial"/>
                <w:sz w:val="10"/>
                <w:szCs w:val="10"/>
              </w:rPr>
              <w:t xml:space="preserve"> </w:t>
            </w:r>
            <w:r w:rsidRPr="00291F13">
              <w:rPr>
                <w:rFonts w:ascii="Arial" w:hAnsi="Arial" w:cs="Arial"/>
                <w:sz w:val="10"/>
                <w:szCs w:val="10"/>
              </w:rPr>
              <w:t>1746</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0073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Residential Properties; Exempting certain elevators from specific code update requirements; revising specified supervision and regulation exemptions for homeowners’ association swimming pools; providing requirements for a condominium association board relating to the installation of hurricane shutters, impact glass, code-compliant windows or doors, and other types of code-compliant hurricane protection under certain circumstances; revising provisions relating to imposing remedies against a noncompliant or delinquent condominium unit owner or member,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Judiciary;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Regulated Industries, 02/21/13, 11:00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Regulated Industries; 10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15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Judiciary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Judiciary, 03/12/13, 2:00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0498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Renewable Energy Producers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Thompson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0309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Renewable Energy Producers; Revising the definition of the term "public utility" to exclude certain producers of renewable energy; requiring public utilities to purchase electricity from renewable energy producers at a certain rate,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35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Communications, Energy, and Public Utilities; Environmental Preservation and Conservation;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0505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Streamlined Sales and Use Tax Agreement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Rehwinkel Vasilinda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0497</w:t>
            </w:r>
            <w:r>
              <w:rPr>
                <w:rFonts w:ascii="Arial" w:hAnsi="Arial" w:cs="Arial"/>
                <w:sz w:val="10"/>
                <w:szCs w:val="10"/>
              </w:rPr>
              <w:t xml:space="preserve"> </w:t>
            </w:r>
            <w:r w:rsidRPr="00291F13">
              <w:rPr>
                <w:rFonts w:ascii="Arial" w:hAnsi="Arial" w:cs="Arial"/>
                <w:sz w:val="10"/>
                <w:szCs w:val="10"/>
              </w:rPr>
              <w:t>1293</w:t>
            </w:r>
            <w:r>
              <w:rPr>
                <w:rFonts w:ascii="Arial" w:hAnsi="Arial" w:cs="Arial"/>
                <w:sz w:val="10"/>
                <w:szCs w:val="10"/>
              </w:rPr>
              <w:t xml:space="preserve"> </w:t>
            </w:r>
            <w:r w:rsidRPr="00291F13">
              <w:rPr>
                <w:rFonts w:ascii="Arial" w:hAnsi="Arial" w:cs="Arial"/>
                <w:sz w:val="10"/>
                <w:szCs w:val="10"/>
              </w:rPr>
              <w:t>0088</w:t>
            </w:r>
            <w:r>
              <w:rPr>
                <w:rFonts w:ascii="Arial" w:hAnsi="Arial" w:cs="Arial"/>
                <w:sz w:val="10"/>
                <w:szCs w:val="10"/>
              </w:rPr>
              <w:t xml:space="preserve"> </w:t>
            </w:r>
            <w:r w:rsidRPr="00291F13">
              <w:rPr>
                <w:rFonts w:ascii="Arial" w:hAnsi="Arial" w:cs="Arial"/>
                <w:sz w:val="10"/>
                <w:szCs w:val="10"/>
              </w:rPr>
              <w:t>0316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Streamlined Sales and Use Tax Agreement: Revises definitions; specifies certain facilities that are exempt from transient rentals tax; deletes application of brackets for calculation of sales &amp; use taxes; revises criteria establishing circumstances under which taxes on sale of prepaid calling arrangements are due; deletes application of brackets for calculation of sales &amp; use taxes; limits $5,000 cap on discretionary sales surtax to sale of motor vehicles, aircraft, boats, manufactured homes, modular homes, &amp; mobile homes; provides criteria to determine situs of certain sales; deletes provisions relating to mail-order sales; requires purchasers of direct mail to use direct-mail forms; provides criteria for determining location of transactions; revises exemptions from sales &amp; use tax for food &amp; medical products; provides for computation of taxes due based on rounding instead of brackets; deletes procedures for refunds of tax paid on mail-order sales; provides amnesty for uncollected or unpaid sales &amp; use taxes for sellers who register under Streamlined Sales &amp; Use Tax Agreement; provides for adoption of emergency rules; repeals provisions pertaining to taxation of mail-order sales. Effective Date: January 1, 2014</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4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Finance &amp; Tax Subcommittee; Appropriations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Finance &amp; Tax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0507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 Contracts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Reed</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0090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 Contracts: Requires all state contracts of more than certain amount to require call-center services to be staffed by persons located within United States.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2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Government Operations Appropriations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0530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Dispute Resolution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Thrasher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0693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Dispute Resolution; Revising the short title of the "Florida Arbitration Code" to be the "Revised Florida Arbitration Code"; providing that an agreement may waive or vary the effect of statutory arbitration provisions; requiring a court to decide whether an agreement to arbitrate exists or a controversy is subject to an agreement to arbitrate; providing that a person waives any objection to lack of or insufficiency of notice by appearing at the arbitration hearing; requiring certain disclosures of interests and relationships by a person before accepting appointment as an arbitrator,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66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Judiciary;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9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Judiciary, 02/19/13, 1:00 pm, 110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5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Favorable with CS by Judiciary; 9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7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Committee Substitute (C1) Text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01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Now in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0553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Workers' Compensation System Administration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Hager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02/25/13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0860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Workers' Compensation System Administration: Revises duties of state agencies covered by state risk management program with respect to funding costs for employees entitled to workers' compensation benefits; revises requirements relating to submitting notice of election of exemption; revises effectiveness of stop-work orders &amp; penalty assessment orders; revises immunity from liability standards for employers &amp; employees using help supply services company; deletes &amp; revising definitions; revises health care provider requirements &amp; responsibilities; deletes rulemaking authority &amp; responsibilities of DFS; revises provider reimbursement dispute procedures; revises penalties for certain violations or overutilization of treatment; revises criteria for appointment of expert medical advisors; deletes certain OIR audit requirements; deletes provisions providing for removal of physicians from lists of those authorized to render medical care under certain conditions; revises limitations on compensation for temporary total disability; revises &amp; deleting penalties for noncompliance relating to duty of employer upon receipt of notice of injury or death; transfers certain responsibilities of OIR of FSC to department; deletes requirement that provision that is mutually agreed upon in any collective bargaining agreement must be filed with department; revises certain carrier reporting requirements; revises duties of department upon referral of injured employee.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32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Insurance &amp; Banking Subcommittee; Government Operations Appropriations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Insurance &amp; Banking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5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Insurance &amp; Banking Subcommittee, 02/19/13, 3:00 pm,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74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Insurance &amp; Banking Subcommittee; 13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02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Committee Substitute Text (C1)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1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Appropriations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0554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Brownfield Areas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Altman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0415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Brownfield Areas; Requiring a local government to comply with certain provisions when designating brownfield areas; providing that a property owner may request that his or her property be removed from the proposed designation before adoption of a resolution; providing notification requirements and procedures for public notice; requiring a local government to designate a brownfield area if certain criteria are met,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02/08/13, 1:30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84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Environmental Preservation and Conservation; Community Affairs; Appropriations Subcommittee on Finance and Tax;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20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02/15/13, 1:30 pm, 301 C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02/22/13, 1:45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9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Bill to be Discussed During the Office of EDR's Revenue Estimating Impact Conference, 03/01/13, 1:45 pm, 117 K (No Votes Will Be Taken)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0568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Women's History Month</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Joyner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01/31/13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9005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Women's History Month; Recognizing March 2013 as "Women's History Month," etc</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0575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Design Professionals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Passidomo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0286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Design Professionals: Defines "business entity"; provides that certain contracts executed by professional services corporation may specify that certain architects, interior designers, landscape architects, engineers, &amp; surveyors may not be held individually liable for negligence in performance of professional services provided under those contracts; specifies that contract that prohibits individual liability must meet certain requirements.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01/31/13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3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Civil Justice Subcommittee; Business &amp; Professional Regulation Subcommittee; Judiciary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Civil Justice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Civil Justice Subcommittee, 03/06/13, 8:00 am, 404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3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Civil Justice Subcommittee; 13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0578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Construction Projects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Clemens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Construction Projects; Requiring state agencies to specify certain products associated with public works projects; prohibiting state agencies from excluding the use of certain building rating systems, building codes, or published supplements for certain construction and renovation projects,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Governmental Oversight and Accountability;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5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On Committee agenda - Community Affairs, 03/07/13, 8:00 am, 301 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4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Temporarily Postponed by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0602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Local Bids and Contracts for Public Construction Works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Hukill</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0687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Local Bids and Contracts for Public Construction Works; Eliminating specified conditions under which a local government is exempt from the requirement to competitively award contracts,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06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Governmental Oversight and Accountability;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0682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Fossil Fuel Combustion Products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Simpson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02/13/13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0659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Fossil Fuel Combustion Products; Providing standards for storage of certain fossil fuel combustion products; providing an exemption for beneficial use of fossil fuel combustion products from certain rules; providing that the act does not prohibit the Department of Environmental Protection from taking appropriate action to regulate a beneficial use in certain circumstances; excluding certain types of facilities from provisions on hazardous waste landfills,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18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Environmental Preservation and Conservation; Community Affairs;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0684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Preference in Award of State Contracts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02/13/13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1017</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0307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Preference in Award of State Contracts; Expanding provisions that require an agency, university, college, school district, or other political subdivision of the state to provide preferential consideration to a Florida business in awarding competitively bid contracts to purchase personal property to include the purchase of construction services; requiring counties and municipalities to provide such preferential consideration; providing that for specified competitive solicitations the authority to grant preference supersedes any local ordinance or regulation that restricts specified contractors from competing for an award based upon certain conditions,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6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Community Affairs; Appropriations;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0687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Local Bids and Contracts for Public Construction Works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McBurney</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02/20/13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0602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Local Bids and Contracts for Public Construction Works: Eliminates specified conditions under which local government is exempt from requirement to competitively award contracts.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33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Government Operations Subcommittee; Local &amp; Federal Affairs 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0693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Dispute Resolution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Moraitis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02/20/13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0530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Dispute Resolution: Redesignates "Florida Arbitration Code" as "Revised Florida Arbitration Code"; creates &amp; revises numerous provisions; provides for applicability of revised code; provides that code does not apply to any dispute involving child custody, visitation, or child support; provides limits on jurisdiction of trial resolution judge.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Civil Justice Subcommittee; Justice Appropriations Subcommittee; Judiciary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Civil Justice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0703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Concrete Masonry Products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Davis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02/20/13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0944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Concrete Masonry Products: Creates "Concrete Masonry Products Research, Education, &amp; Promotion Act"; creates Florida Concrete Masonry Council, Inc.; authorizes council to levy assessment on sale of concrete masonry units under certain circumstances; provides powers &amp; duties of council &amp; restrictions upon actions of council; authorizes council to submit referendum to manufacturers of concrete masonry units for authorization to levy assessment on sale of concrete masonry units; provides procedure for holding referendum; authorizes council to accept grants, donations, contributions, &amp; gifts under certain circumstances; authorizes council to make payments to other organizations under; provides requirements for manufacturer's collection of assessments; authorizes council to initiate legal action against manufacturer under certain conditions; provides procedure for manufacturers to petition for referendum to continue assessment; requires council to adopt bylaws.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12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Finance &amp; Tax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0707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Domestic Wastewater Discharged through Ocean Outfalls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Diaz (M)</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0444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Domestic Wastewater Discharged through Ocean Outfalls: Revises measurement standard for wastewater flow; revises requirements for installation of functioning reuse system by certain utilities; revises plan requirements for elimination of ocean outfalls; requires DEP to approve apportionment of reuse under certain conditions; revises provisions authorizing certain backup discharge of domestic wastewater; requires certain permit holders to submit certain information; requires DEP, SFWMD, &amp; affected utilities to consider certain information for adjustment of reuse requirements; requires DEP to submit report.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Agriculture &amp; Natural Resources Subcommittee; Agriculture &amp; Natural Resources Appropriations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Agriculture &amp; Natural Resources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On Committee agenda - Agriculture &amp; Natural Resources Subcommittee, 03/07/13, 1:00 pm, 102 H</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4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Favorable with CS by Agriculture &amp; Natural Resources Subcommittee; 11 Yeas, 0 Nays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0737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Swimming Pool and Spa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Ahern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02/20/13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0156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Swimming Pool and Spa Contracting: Revises definition of "contractor" with respect to cleaning, maintenance, &amp; water treatment of swimming pools &amp; spas; revises scope of work of commercial pool/spa contractors, residential pool/spa contractors, &amp; swimming pool/spa servicing contractors; revises eligibility requirements for taking swimming pool/spa servicing contractor's licensure examination. Effective Date: October 1, 2014</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8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Business &amp; Professional Regulation Subcommittee; Government Operations Appropriations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0739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Procurement of Professional Architectural, Engineering, Landscape Architectural, or Surveying and Mapping Services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Metz</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02/20/13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1002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Procurement of Professional Architectural, Engineering, Landscape Architectural, or Surveying and Mapping Services: Revises definition of term "continuing contract," &amp; defines term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806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Rulemaking Oversight &amp; Repeal Subcommittee; Government Operations Appropriations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Government Operations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0775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Jurisdiction of the Courts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Santiago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0186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Jurisdiction of the Courts: Provides that person submits to jurisdiction of this state by entering into contract that specifies that law of this state governs contract &amp; agrees to submit to jurisdiction; clarifies circumstances under which an arbitration is international; limits application of certain provisions to instances in which arbitral tribunal orders party to preserve evidence; provides that initiation of arbitration in this state, or making of written agreement to arbitrate which provides for arbitration in this state, constitutes consent to exercise in personam jurisdiction; revises circumstances under which parties to contract, agreement, or undertaking may agree that law of this state governs contract, agreement, or undertaking; revises application dates of specified provisions.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06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Civil Justice Subcommittee; Judiciary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Civil Justice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0802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Department of Business and Professional Regulation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02/14/13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1462</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0057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Department of Business and Professional Regulation; Clarifying funding requirements for the Florida Homeowners’ Construction Recovery Fund; authorizing the Department of Business and Professional Regulation to transfer certain funds from the Florida Building Code Administrators and Inspectors Board to the Florida Homeowners’ Construction Recovery Fund, etc.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4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Community Affairs;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0883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Fire Safety and Prevention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Boyd</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1410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Fire Safety and Prevention: Revises and reorganizes ch. 633, F.S., relating to fire prevention and control; consolidates &amp; revises provisions relating to the authority of the State Fire Marshal; consolidates provisions which prescribe disciplinary authority of the State Fire Marshal; consolidates provisions relating to hearings, investigations, &amp; recordkeeping duties and the authority of the State Fire Marshal; clarifies provisions relating to impersonating the State Fire Marshal, a firefighter, or firesafety inspector, or volunteer firefighter.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32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Insurance &amp; Banking Subcommittee; Government Operations Appropriations Subcommittee; Regulatory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Insurance &amp; Banking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0889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Construction Lien Law</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Fasano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1136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Construction Lien Law: Revises mandatory notice provision in contracts between owners &amp; contractors; revises notice requirements relating to liens of persons not in privity; deletes provision classifying certain payments as improper payments; revises notice of commencement form to conform to changes made by act &amp; to provide additional warning; revises building permit card &amp; application to conform to changes made by act &amp; to provide additional warning.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3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Civil Justice Subcommittee; Business &amp; Professional Regulation Subcommittee; Judiciary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Civil Justice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0935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False Claims 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Young</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1496</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1494</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L:</w:t>
            </w:r>
            <w:r>
              <w:rPr>
                <w:rFonts w:ascii="Arial" w:hAnsi="Arial" w:cs="Arial"/>
                <w:sz w:val="10"/>
                <w:szCs w:val="10"/>
              </w:rPr>
              <w:t xml:space="preserve"> </w:t>
            </w:r>
            <w:r w:rsidRPr="00291F13">
              <w:rPr>
                <w:rFonts w:ascii="Arial" w:hAnsi="Arial" w:cs="Arial"/>
                <w:sz w:val="10"/>
                <w:szCs w:val="10"/>
              </w:rPr>
              <w:t>0937</w:t>
            </w:r>
            <w:r>
              <w:rPr>
                <w:rFonts w:ascii="Arial" w:hAnsi="Arial" w:cs="Arial"/>
                <w:sz w:val="10"/>
                <w:szCs w:val="10"/>
              </w:rPr>
              <w:t xml:space="preserve"> </w:t>
            </w:r>
            <w:r w:rsidRPr="00291F13">
              <w:rPr>
                <w:rFonts w:ascii="Arial" w:hAnsi="Arial" w:cs="Arial"/>
                <w:sz w:val="10"/>
                <w:szCs w:val="10"/>
              </w:rPr>
              <w:t>1297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False Claims Act: Revises terminology; authorizes DLA to issue subpoenas for specified purposes before institution of civil proceedings; prohibits specified actions by person, knowing or having reason to believe that subpoena is pending; provides that state may elect to pursue available alternative remedies, including administrative proceedings; specifies what constitutes final finding or conclusion in an alternative proceeding that is binding on all parties to an action under act; revises provisions relating to dismissal of an action if substantially same allegations or transactions as alleged in action were publicly disclosed; provides for treatment for statutes of limitations purposes of pleadings filed in interventions by DLA.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Civil Justice Subcommittee; Justice Appropriations Subcommittee; Judiciary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91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Civil Justice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0942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Grandfathering Registered Contractors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Diaz de la Portilla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Grandfathering Registered Contractors; Extending the date by which an applicant must make application for a license to be grandfathered,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5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Governmental Oversight and Accountability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0944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Concrete Masonry Products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Grimsley</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0703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Concrete Masonry Products; Citing this act as the “Concrete Masonry Products Research, Education, and Promotion Act”; creating the Florida Concrete Masonry Council, Inc.; authorizing the council to levy an assessment on the sale of concrete masonry units under certain circumstances; authorizing the council to submit a referendum to manufacturers of concrete masonry units for authorization to levy an assessment on the sale of concrete masonry units; authorizing the council to initiate legal action against a manufacturer under certain conditions,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7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Regulated Industries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0971</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Fire Prevention Code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Raburn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1122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Fire Prevention Code: Exempts certain local governments from specified minimum fire-flow requirements in code; exempts certain businesses from 2-hour or longer fire-rated wall requirement in code; exempts certain agricultural operations from code.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4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Insurance &amp; Banking Subcommittee; Local &amp; Federal Affairs 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30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Insurance &amp; Banking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0973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Low-Voltage Alarm System Contracting and Permitting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Brodeur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1442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Low-Voltage Alarm System Contracting and Permitting: Requires local enforcement agencies to offer for sale to contractors uniform basic permit labels; requires contractors to post unused label in specified place before commencing work on low-voltage alarm system project; requires contractors to submit uniform notice of installation of alarm system within specified period after completing work; prescribes form for such notice; provides inspection procedures &amp; requirements for low-voltage alarm system projects; prohibits specified local governments from adopting or maintaining certain ordinances &amp; rules.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0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Business &amp; Professional Regulation Subcommittee; Local &amp; Federal Affairs 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0985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Small Business Participation in State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 xml:space="preserve">Rogers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1142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Small Business Participation in State Contracting: Directs that agencies avoid contract bundling under certain circumstances; requires agencies to conduct market research &amp; include written summaries &amp; analyses of such research in solicitations for bundled contracts; requires agencies to award a specified percentage of contracts to small businesses; requires contract vendors to use small businesses in the state as subcontractors or subvendors; provides requirements with respect to payment of subcontractors; prohibits agencies, general contractors, or prime contractors from requiring certain bonds or other sureties for certain contracts; requires the rules ombudsman in the EOG to establish a system for reporting small business participation in state contracting; requiring agencies to cooperate with such reporting; requires specified annual reports.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2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Government Operations Appropriations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0999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Environmental Regulation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Patronis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1063</w:t>
            </w:r>
            <w:r>
              <w:rPr>
                <w:rFonts w:ascii="Arial" w:hAnsi="Arial" w:cs="Arial"/>
                <w:sz w:val="10"/>
                <w:szCs w:val="10"/>
              </w:rPr>
              <w:t xml:space="preserve"> </w:t>
            </w:r>
            <w:r w:rsidRPr="00291F13">
              <w:rPr>
                <w:rFonts w:ascii="Arial" w:hAnsi="Arial" w:cs="Arial"/>
                <w:sz w:val="10"/>
                <w:szCs w:val="10"/>
              </w:rPr>
              <w:t>0948</w:t>
            </w:r>
            <w:r>
              <w:rPr>
                <w:rFonts w:ascii="Arial" w:hAnsi="Arial" w:cs="Arial"/>
                <w:sz w:val="10"/>
                <w:szCs w:val="10"/>
              </w:rPr>
              <w:t xml:space="preserve"> </w:t>
            </w:r>
            <w:r w:rsidRPr="00291F13">
              <w:rPr>
                <w:rFonts w:ascii="Arial" w:hAnsi="Arial" w:cs="Arial"/>
                <w:sz w:val="10"/>
                <w:szCs w:val="10"/>
              </w:rPr>
              <w:t>1470</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1684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Environmental Regulation: Creates, amends, &amp; revises numerous provisions relating to: development permit applications; marinas, boatyards, &amp; marine retailers; general permits for special events; well permits; exemptions from permits, fees &amp; related environmental requirements &amp; regulation; regional water supply planning; agricultural water supply demand projections; major sources of air pollution; water quality testing, sampling, collection, &amp; analysis; &amp; restoration of seawalls.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Agriculture &amp; Natural Resources Subcommittee; Agriculture &amp; Natural Resources Appropriations Subcommittee;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Agriculture &amp; Natural Resources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1002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Procurement of Professional Architectural, Engineering, Landscape Architectural, or Surveying and Mapping Services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Soto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02/22/13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0739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Procurement of Professional Architectural, Engineering, Landscape Architectural, or Surveying and Mapping Services; Revising the definition of the term “continuing contract” and defining the term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02/19/13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03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Regulated Industries; Community Affairs;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1017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 Procurement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Fresen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0307</w:t>
            </w:r>
            <w:r>
              <w:rPr>
                <w:rFonts w:ascii="Arial" w:hAnsi="Arial" w:cs="Arial"/>
                <w:sz w:val="10"/>
                <w:szCs w:val="10"/>
              </w:rPr>
              <w:t xml:space="preserve"> </w:t>
            </w:r>
            <w:r w:rsidRPr="00291F13">
              <w:rPr>
                <w:rFonts w:ascii="Arial" w:hAnsi="Arial" w:cs="Arial"/>
                <w:sz w:val="10"/>
                <w:szCs w:val="10"/>
              </w:rPr>
              <w:t>0684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 Procurement: Provides preference for local businesses in state contracting for goods &amp; contractual services, including construction services.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Appropriations Committee; State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1050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Educational Facilities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Flores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02/25/13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1341</w:t>
            </w:r>
            <w:r>
              <w:rPr>
                <w:rFonts w:ascii="Arial" w:hAnsi="Arial" w:cs="Arial"/>
                <w:sz w:val="10"/>
                <w:szCs w:val="10"/>
              </w:rPr>
              <w:t xml:space="preserve"> </w:t>
            </w:r>
            <w:r w:rsidRPr="00291F13">
              <w:rPr>
                <w:rFonts w:ascii="Arial" w:hAnsi="Arial" w:cs="Arial"/>
                <w:sz w:val="10"/>
                <w:szCs w:val="10"/>
              </w:rPr>
              <w:t>0828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Educational Facilities; Authorizing district school boards to voluntarily comply with the State Requirements for Educational Facilities of the Florida Building Code for new construction, remodeling, and renovation projects; providing that this compliance by the school boards is not mandatory,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02/20/13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27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Education;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1063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 xml:space="preserve">Relating to Water Supply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Hutson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0999</w:t>
            </w:r>
            <w:r>
              <w:rPr>
                <w:rFonts w:ascii="Arial" w:hAnsi="Arial" w:cs="Arial"/>
                <w:sz w:val="10"/>
                <w:szCs w:val="10"/>
              </w:rPr>
              <w:t xml:space="preserve"> </w:t>
            </w:r>
            <w:r w:rsidRPr="00291F13">
              <w:rPr>
                <w:rFonts w:ascii="Arial" w:hAnsi="Arial" w:cs="Arial"/>
                <w:sz w:val="10"/>
                <w:szCs w:val="10"/>
              </w:rPr>
              <w:t>1684</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0948</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Water Supply: Revises legislative intent with regard to water supply policy, planning, production, &amp; funding; requires water management districts to assist private landowners &amp; self-suppliers in meeting certain water supply needs &amp; to coordinate with private landowners &amp; DACS for regional water supply planning; authorizes water management districts to contract with such entities for specified purposes; clarifies funding assistance eligibility criteria for certain water supply development projects; provides criteria &amp; requirements for determining agricultural water supply demand projections; requires DACS to establish agricultural water supply planning program.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4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Agriculture &amp; Natural Resources Subcommittee; Agriculture &amp; Natural Resources Appropriations Subcommittee;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8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Agriculture &amp; Natural Resources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1074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State-owned or State-leased Space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1145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State-owned or State-leased Space; Revising provisions relating to the update of an inventory of certain facilities needing repairs or innovation maintained by the Department of Management Services; revising provisions relating to decisions by the Board of Trustees of the Internal Improvement Trust Fund to surplus lands; prohibiting a state agency from leasing space in a private building under certain circumstances; specifying that a vendor for certain energy efficiency contracts must be selected in accordance with state procurement requirements, etc. Effective Date: Except as otherwise expressly provided in this act, this act shall take effect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67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Environmental Preservation and Conservation;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1080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Construction Projects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Evers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0269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Construction Projects; Requiring state agencies to use a sustainable building rating system for construction and renovation projects; requiring state agencies and other entities to specify certain products associated with public works projects,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20"/>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Community Affairs;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1088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Renovation of Educational Facilities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Latvala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0201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Renovation of Educational Facilities; Requiring school districts to retrofit the doors and windows of educational facilities to comply with certain Florida Building Code standards; providing additional requirements; providing funding through the capital outlay millage levy; requiring state universities and Florida College System institutions to retrofit the doors and windows of educational facilities to comply with certain Florida Building Code standards; providing additional requirements; providing funding through capital outlay funds,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39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Education; Appropriations Subcommittee on Education; Appropriations;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1118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Public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0181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Public Contracting; Prohibiting a governmental unit that contracts for the construction, repair, remodeling, or improving of a facility from imposing conditions that requires, prohibits, encourages, or discourages certain bidders, contractors, or subcontractors from entering into or adhering to agreements with a collective bargaining organization; prohibiting certain terms from being placed in bid specifications, project agreements, or other controlling documents; revising the period during which an agency must file a protest following certain contract solicitations or awards, etc.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20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Governmental Oversight and Accountability; Judiciary</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1122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Fire Prevention Code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Simpson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0971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Fire Prevention Code; Exempting certain local governments from specified minimum fire-flow requirements in the code; exempting certain businesses from a 2-hour or longer fire-rated wall requirement in the code; exempting certain agricultural operations from the code,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06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Governmental Oversight and Accountability;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1124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Veteran Preference in State Purchasing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Altman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0719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Veteran Preference in State Purchasing; Requiring state agencies to apply a specific percentage preference to bids, proposals, or replies from certified veteran business enterprises,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10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Military Affairs, Space, and Domestic Security; Governmental Oversight and Accountability; Judiciary;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1136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Construction Liens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Joyner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0889</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Construction Liens; Revising a mandatory notice provision in contracts between owners and contractors; revising notice requirements relating to liens of persons not in privity; deleting a provision classifying certain payments as improper payments; revising the notice of commencement form to conform to changes made by the act and to provide an additional warning; revising the building permit card and application to conform to changes made by the act and to provide an additional warning,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Judiciary; Regulated Industries;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1142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Small Business Participation in State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Gibson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02/28/13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0985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Small Business Participation in State Contracting; Defining the terms "contract bundling" and "small business"; directing that agencies avoid contract bundling under certain circumstances; requiring agencies to conduct market research and include written summaries and analyses of such research in solicitations for bundled contracts; requiring agencies to award a specified percentage of contracts to small businesses; prohibiting agencies, general contractors, or prime contractors from requiring certain bonds or other sureties for certain contracts,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02/22/13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17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Commerce and Tourism;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1150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Benacquisto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1764</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1261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 Contracting; Requiring agreements funded with state or federal financial assistance to include additional provisions; revising provisions relating to the Chief Financial Officer’s intergovernmental contract tracking system under the Transparency Florida Act; repealing provisions relating to a requirement that state agencies report certain contract information to the Department of Financial Services and transferring that requirement to s. 215.985, F.S.,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9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Governmental Oversight and Accountability; Banking and Insurance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1160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Onsite Sewage Treatment And Disposal Systems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Bullard</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0375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Onsite Sewage Treatment and Disposal Systems; Revising the frequency of inspections that owners of aerobic treatment unit systems must provide for under service agreements with certain maintenance entities permitted by the Department of Health,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81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Health Policy; Community Affairs; Environmental Preservation and Conservation;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1189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Deregulation of Professions and Occupations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Raburn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7023</w:t>
            </w:r>
            <w:r>
              <w:rPr>
                <w:rFonts w:ascii="Arial" w:hAnsi="Arial" w:cs="Arial"/>
                <w:sz w:val="10"/>
                <w:szCs w:val="10"/>
              </w:rPr>
              <w:t xml:space="preserve"> </w:t>
            </w:r>
            <w:r w:rsidRPr="00291F13">
              <w:rPr>
                <w:rFonts w:ascii="Arial" w:hAnsi="Arial" w:cs="Arial"/>
                <w:sz w:val="10"/>
                <w:szCs w:val="10"/>
              </w:rPr>
              <w:t>1040</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0720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Deregulation of Professions and Occupations: Exempts certain auctioneers who conduct motor vehicle auction contests from licensure; deletes licensure requirements for auctioneer apprentices; deletes provisions requiring registration of persons whose occupation or practice is confined solely to hair braiding, hair wrapping, or body wrapping; provides that Florida Cosmetology Act does not apply to such persons; conforms provisions repeals provisions relating to Sale of Business Opportunities Act &amp; regulation of certain business opportunities.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8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Business &amp; Professional Regulation Subcommittee; Government Operations Appropriations Subcommittee; Regulatory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1245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Building Construction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Davis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1252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Building Construction: Revises provisions relating to onsite sewage treatment &amp; disposal systems, construction contracting &amp; electrical alarm system contracting disciplinary actions, Florida Building Code, thermal efficiency standards, &amp; building energy-efficiency rating system.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98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Business &amp; Professional Regulation Subcommittee; Government Operations Appropriations Subcommittee; Regulatory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Business &amp; Professional Regulation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1248</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Hurricane Mitigation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Hays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0107</w:t>
            </w:r>
            <w:r>
              <w:rPr>
                <w:rFonts w:ascii="Arial" w:hAnsi="Arial" w:cs="Arial"/>
                <w:sz w:val="10"/>
                <w:szCs w:val="10"/>
              </w:rPr>
              <w:t xml:space="preserve"> </w:t>
            </w:r>
            <w:r w:rsidRPr="00291F13">
              <w:rPr>
                <w:rFonts w:ascii="Arial" w:hAnsi="Arial" w:cs="Arial"/>
                <w:sz w:val="10"/>
                <w:szCs w:val="10"/>
              </w:rPr>
              <w:t>0096</w:t>
            </w:r>
            <w:r>
              <w:rPr>
                <w:rFonts w:ascii="Arial" w:hAnsi="Arial" w:cs="Arial"/>
                <w:sz w:val="10"/>
                <w:szCs w:val="10"/>
              </w:rPr>
              <w:t xml:space="preserve"> </w:t>
            </w:r>
            <w:r w:rsidRPr="00291F13">
              <w:rPr>
                <w:rFonts w:ascii="Arial" w:hAnsi="Arial" w:cs="Arial"/>
                <w:sz w:val="10"/>
                <w:szCs w:val="10"/>
              </w:rPr>
              <w:t>1770</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1247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Hurricane Mitigation; Transferring responsibility for the public model for hurricane loss projection from the Office of Insurance Regulation to the Division of Emergency Management; deleting provisions specifying how program funds are to be spent, including the Manufactured Housing and Mobile Home Mitigation and Enhancement Program, and the Florida International University International Hurricane Research Center; repealing provisions relating to the public hurricane loss projection model; revising factors that must be considered or included in the rate filings for residential property insurance,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58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Banking and Insurance; Appropriations Subcommittee on Transportation, Tourism, and Economic Development;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1252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Building Construction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Simpson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03/01/13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1245</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Building Construction; Specifying that certain actions relating to onsite sewage treatment and removal are not required if a bedroom is not added during a remodeling addition or modification to a single-family home; authorizing a local building department to retain 75 percent of certain fines collected if it transmits 25 percent to the Department of Business and Professional Regulation; prohibiting any provision of the International Residential Code relating to mandated fire sprinklers from incorporation into the Florida Building Code,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4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Regulated Industries;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1261</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State Contracting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Diaz (J)</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1764</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1150</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State Contracting: Requires agreements funded with state or federal financial assistance to include additional provisions; authorizes CFO to audit &amp; approve agreements prior to execution; revises provisions relating to CFO's intergovernmental contract tracking system under Transparency Florida Act; requires state agencies to post certain information in tracking system &amp; update that information; requires certain contract managers to be certified &amp; directs DMS to be responsible for establishing requirements for certification; requires CFO to perform audits of executed contract documents &amp; discuss audits with agency officials; requires agency head to respond to the audit.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Government Operations Subcommittee; Appropriations Committee; State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1309</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Procurement of Commodities and Contractual Services</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Albritton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L:</w:t>
            </w:r>
            <w:r>
              <w:rPr>
                <w:rFonts w:ascii="Arial" w:hAnsi="Arial" w:cs="Arial"/>
                <w:sz w:val="10"/>
                <w:szCs w:val="10"/>
              </w:rPr>
              <w:t xml:space="preserve"> </w:t>
            </w:r>
            <w:r w:rsidRPr="00291F13">
              <w:rPr>
                <w:rFonts w:ascii="Arial" w:hAnsi="Arial" w:cs="Arial"/>
                <w:sz w:val="10"/>
                <w:szCs w:val="10"/>
              </w:rPr>
              <w:t>1311</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Procurement of Commodities and Contractual Services: Requires DMS &amp; DFS to jointly conduct training related to negotiating, managing, and accountability in grant agreements; authorizes DMS to delegate by rule purchase of insurance for state agencies; authorizes DMS to adopt rules; revises powers, duties, &amp; functions of DMS; eliminates duty of DMS to maintain vendor list; authorizes agency to suspend &amp; reinstate source of supply that fails to fulfill its duties as specified in contract with agency, following procedures of DMS; provides additional circumstance under which DMS may proceed with competitive solicitation or contract award process of term contract as alternative to stay of such process pursuant to formal written protest under APA.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858"/>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Government Operations Subcommittee; Appropriations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45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Government Operations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1357</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Guaranteed Energy, Water, and Wastewater Performance Savings Contracting 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Cummings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03/08/13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1594</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Guaranteed Energy, Water, and Wastewater Performance Savings Contracting Act: Deletes reference to life cycle cost calculations; provides that contract may provide for repayments to lender of installation construction loan in installments for period not to exceed 20 years; requires contract to provide that repayments to lender of installation construction loan may be made over time, not to exceed 20 years from certain date; requires contract to provide for certain amount of repayment to lender of installation construction loan within 2 years of specified date; provides that certain improvements may be included in performance contract if certain conditions are satisfied; authorizes certain facility alterations to be included in performance contract &amp; to be supervised by performance savings contractor; limiting time allotted to Office of CFO to review &amp; approve agency's guaranteed energy, water, &amp; wastewater performance savings contract.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9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Referred to Energy &amp; Utilities Subcommittee; Appropriations Committee; Regulatory Affairs 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1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03/08/13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Energy &amp; Utilities Subcommittee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1410</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Fire Safety and Prevention</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Simmons</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0883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Fire Safety and Prevention; Revising provisions relating to the authority of the State Fire Marshal; revising provisions relating to hearings, investigations, and recordkeeping duties and the authority of the State Fire Marshal; clarifying provisions relating to impersonating the State Fire Marshal, a firefighter, a firesafety inspector, or a volunteer firefighter, for which a criminal penalty is provided; providing penalties for rendering a fire protection system required by statute or by rule inoperative,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613"/>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Banking and Insurance; Community Affairs; Criminal Justice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1442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Alarm System Contracting and Permitting</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Lee (T)</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0973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Alarm System Contracting and Permitting; Requiring a local enforcement agency to offer for sale uniform basic permit labels to contractors; prohibiting a local enforcement agency from applying a certain condition to the purchase of a label; requiring contractors to post an unused label in a specified place before commencing work on a low-voltage alarm system project; providing inspection procedures and requirements for low-voltage alarm system projects, etc. Effective Date: October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63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Criminal Justice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1452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Supplier Diversity</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Braynon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S:</w:t>
            </w:r>
            <w:r>
              <w:rPr>
                <w:rFonts w:ascii="Arial" w:hAnsi="Arial" w:cs="Arial"/>
                <w:sz w:val="10"/>
                <w:szCs w:val="10"/>
              </w:rPr>
              <w:t xml:space="preserve"> </w:t>
            </w:r>
            <w:r w:rsidRPr="00291F13">
              <w:rPr>
                <w:rFonts w:ascii="Arial" w:hAnsi="Arial" w:cs="Arial"/>
                <w:sz w:val="10"/>
                <w:szCs w:val="10"/>
              </w:rPr>
              <w:t>1337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Supplier Diversity; Providing that the purpose of the act is to encourage greater economic opportunity for businesses controlled and operated by women, minorities, and disabled veterans; authorizing the Public Service Commission to require certain regulated corporations to submit a plan for increasing procurement from businesses controlled and operated by women, minorities, and disabled veterans; authorizing the commission to adopt rules to determine and verify the eligibility for participation in the procurement program,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77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Commerce and Tourism; Communications, Energy, and Public Utilities;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1462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Homeowners' Construction Recovery Fund</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Dean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0057</w:t>
            </w:r>
            <w:r>
              <w:rPr>
                <w:rFonts w:ascii="Arial" w:hAnsi="Arial" w:cs="Arial"/>
                <w:sz w:val="10"/>
                <w:szCs w:val="10"/>
              </w:rPr>
              <w:t xml:space="preserve"> </w:t>
            </w:r>
            <w:r w:rsidRPr="00291F13">
              <w:rPr>
                <w:rFonts w:ascii="Arial" w:hAnsi="Arial" w:cs="Arial"/>
                <w:sz w:val="10"/>
                <w:szCs w:val="10"/>
              </w:rPr>
              <w:t>0802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Homeowners’ Construction Recovery Fund; Revising the surcharge funding calculation; requiring Division II contractors to participate in the Homeowners’ Construction Recovery Fund; revising the eligibility conditions for recovery; revising the notice to residential property owners regarding recovery from the fund; revising the limits for payments for claims; providing limits for claims made for Division II claims,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4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Regulated Industries; Community Affairs;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1494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False Claims 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Thrasher</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C:</w:t>
            </w:r>
            <w:r>
              <w:rPr>
                <w:rFonts w:ascii="Arial" w:hAnsi="Arial" w:cs="Arial"/>
                <w:sz w:val="10"/>
                <w:szCs w:val="10"/>
              </w:rPr>
              <w:t xml:space="preserve"> </w:t>
            </w:r>
            <w:r w:rsidRPr="00291F13">
              <w:rPr>
                <w:rFonts w:ascii="Arial" w:hAnsi="Arial" w:cs="Arial"/>
                <w:sz w:val="10"/>
                <w:szCs w:val="10"/>
              </w:rPr>
              <w:t>0937</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0935</w:t>
            </w:r>
            <w:r>
              <w:rPr>
                <w:rFonts w:ascii="Arial" w:hAnsi="Arial" w:cs="Arial"/>
                <w:sz w:val="10"/>
                <w:szCs w:val="10"/>
              </w:rPr>
              <w:t xml:space="preserve"> )</w:t>
            </w:r>
            <w:r>
              <w:rPr>
                <w:rFonts w:ascii="Arial" w:hAnsi="Arial" w:cs="Arial"/>
                <w:sz w:val="10"/>
                <w:szCs w:val="10"/>
              </w:rPr>
              <w:br/>
              <w:t>(</w:t>
            </w:r>
            <w:r>
              <w:rPr>
                <w:rFonts w:ascii="Arial" w:hAnsi="Arial" w:cs="Arial"/>
                <w:b/>
                <w:bCs/>
                <w:sz w:val="10"/>
                <w:szCs w:val="10"/>
              </w:rPr>
              <w:t>L:</w:t>
            </w:r>
            <w:r>
              <w:rPr>
                <w:rFonts w:ascii="Arial" w:hAnsi="Arial" w:cs="Arial"/>
                <w:sz w:val="10"/>
                <w:szCs w:val="10"/>
              </w:rPr>
              <w:t xml:space="preserve"> </w:t>
            </w:r>
            <w:r w:rsidRPr="00291F13">
              <w:rPr>
                <w:rFonts w:ascii="Arial" w:hAnsi="Arial" w:cs="Arial"/>
                <w:sz w:val="10"/>
                <w:szCs w:val="10"/>
              </w:rPr>
              <w:t>1496</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False Claims Act; Revising conditions under which a person is liable for a specified civil penalty; authorizing the Department of Legal Affairs to issue subpoenas for specified purposes before the institution of civil proceedings; authorizing the department to stipulate to protective orders of submitted documents and information; providing for estoppel as to certain matters following a final judgment or decree rendered in favor of the state or the Federal Government in certain criminal proceedings,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1662"/>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Judiciary; Rules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1594</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Guaranteed Energy, Water, and Wastewater Performance Savings Contracting 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Bradley</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1357</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Guaranteed Energy, Water, and Wastewater Performance Savings Contracting Act; Revising the terms “agency,” “energy, water, and wastewater efficiency and conservation measure,” and “energy, water, or wastewater cost savings”; providing that a contract may provide for repayments to a lender of an installation construction loan in installments for a period not to exceed 20 years; authorizing certain facility alterations to be included in a performance contract and to be supervised by the performance savings contractor,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59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Communications, Energy, and Public Utilities; Environmental Preservation and Conservation; Community Affairs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1646</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Building Code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Lee (T)</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Building Code; Adding a condition that a technical amendment to the Florida Building Code must meet before the Florida Building Commission is authorized to approve the amendment, etc. Effective Date: Upon becoming a law.</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3446"/>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Regulated Industries;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SB 1702</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Building Code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Latvala</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03/07/13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4043</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Building Code; Repealing a provision relating to the development and maintenance of a biennial coastal building zone construction training program, etc.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4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03/03/13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7037"/>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03/07/13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SENATE Referred to Community Affairs; Environmental Preservation and Conservation; Appropriations Subcommittee on General Government; Appropriations</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4035</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Developments of Regional Impact</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Spano</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03/04/13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Developments of Regional Impact: Deletes provisions authorizing the state land planning agency, regional planning agencies, or local governments to petition the Administration Commission to increase or decrease numerical thresholds of statewide guidelines &amp; standards used in determining whether developments are subject to development-of-regional-impact review.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02/25/13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Economic Development &amp; Tourism Subcommittee; Local &amp; Federal Affairs Committee; Economic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24"/>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03/04/13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Now in Economic Development &amp; Tourism Subcommittee</w:t>
                  </w:r>
                </w:p>
              </w:tc>
            </w:tr>
          </w:tbl>
          <w:p w:rsidR="00C02420" w:rsidRDefault="00C02420">
            <w:pPr>
              <w:rPr>
                <w:rFonts w:ascii="Arial" w:hAnsi="Arial" w:cs="Arial"/>
                <w:sz w:val="13"/>
                <w:szCs w:val="13"/>
              </w:rPr>
            </w:pPr>
          </w:p>
        </w:tc>
      </w:tr>
      <w:tr w:rsidR="00C02420" w:rsidTr="00C02420">
        <w:trPr>
          <w:tblCellSpacing w:w="0" w:type="dxa"/>
          <w:jc w:val="center"/>
        </w:trPr>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HB 4043</w:t>
            </w:r>
          </w:p>
        </w:tc>
        <w:tc>
          <w:tcPr>
            <w:tcW w:w="0" w:type="auto"/>
            <w:tcBorders>
              <w:top w:val="single" w:sz="4" w:space="0" w:color="000000"/>
            </w:tcBorders>
            <w:shd w:val="clear" w:color="auto" w:fill="EEEEEE"/>
            <w:vAlign w:val="center"/>
            <w:hideMark/>
          </w:tcPr>
          <w:p w:rsidR="00C02420" w:rsidRDefault="00C02420">
            <w:pPr>
              <w:rPr>
                <w:rFonts w:ascii="Arial" w:hAnsi="Arial" w:cs="Arial"/>
                <w:b/>
                <w:bCs/>
                <w:sz w:val="13"/>
                <w:szCs w:val="13"/>
              </w:rPr>
            </w:pPr>
            <w:r>
              <w:rPr>
                <w:rFonts w:ascii="Arial" w:hAnsi="Arial" w:cs="Arial"/>
                <w:b/>
                <w:bCs/>
                <w:sz w:val="13"/>
                <w:szCs w:val="13"/>
              </w:rPr>
              <w:t>Relating to Florida Building Code</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sidRPr="00291F13">
              <w:rPr>
                <w:rFonts w:ascii="Arial" w:hAnsi="Arial" w:cs="Arial"/>
                <w:sz w:val="13"/>
                <w:szCs w:val="13"/>
              </w:rPr>
              <w:t>Raulerson</w:t>
            </w:r>
            <w:r>
              <w:rPr>
                <w:rFonts w:ascii="Arial" w:hAnsi="Arial" w:cs="Arial"/>
                <w:sz w:val="13"/>
                <w:szCs w:val="13"/>
              </w:rPr>
              <w:t xml:space="preserve"> </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r>
              <w:rPr>
                <w:rFonts w:ascii="Arial" w:hAnsi="Arial" w:cs="Arial"/>
                <w:sz w:val="13"/>
                <w:szCs w:val="13"/>
              </w:rPr>
              <w:t>03/06/13</w:t>
            </w: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c>
          <w:tcPr>
            <w:tcW w:w="0" w:type="auto"/>
            <w:tcBorders>
              <w:top w:val="single" w:sz="4" w:space="0" w:color="000000"/>
            </w:tcBorders>
            <w:shd w:val="clear" w:color="auto" w:fill="EEEEEE"/>
            <w:vAlign w:val="center"/>
            <w:hideMark/>
          </w:tcPr>
          <w:p w:rsidR="00C02420" w:rsidRDefault="00C02420">
            <w:pPr>
              <w:jc w:val="cente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0"/>
                <w:szCs w:val="10"/>
              </w:rPr>
            </w:pPr>
            <w:r>
              <w:rPr>
                <w:rFonts w:ascii="Arial" w:hAnsi="Arial" w:cs="Arial"/>
                <w:sz w:val="10"/>
                <w:szCs w:val="10"/>
              </w:rPr>
              <w:t>(</w:t>
            </w:r>
            <w:r>
              <w:rPr>
                <w:rFonts w:ascii="Arial" w:hAnsi="Arial" w:cs="Arial"/>
                <w:b/>
                <w:bCs/>
                <w:sz w:val="10"/>
                <w:szCs w:val="10"/>
              </w:rPr>
              <w:t>I:</w:t>
            </w:r>
            <w:r>
              <w:rPr>
                <w:rFonts w:ascii="Arial" w:hAnsi="Arial" w:cs="Arial"/>
                <w:sz w:val="10"/>
                <w:szCs w:val="10"/>
              </w:rPr>
              <w:t xml:space="preserve"> </w:t>
            </w:r>
            <w:r w:rsidRPr="00291F13">
              <w:rPr>
                <w:rFonts w:ascii="Arial" w:hAnsi="Arial" w:cs="Arial"/>
                <w:sz w:val="10"/>
                <w:szCs w:val="10"/>
              </w:rPr>
              <w:t>1702</w:t>
            </w:r>
            <w:r>
              <w:rPr>
                <w:rFonts w:ascii="Arial" w:hAnsi="Arial" w:cs="Arial"/>
                <w:sz w:val="10"/>
                <w:szCs w:val="10"/>
              </w:rPr>
              <w:t xml:space="preserve"> )</w:t>
            </w:r>
          </w:p>
        </w:tc>
        <w:tc>
          <w:tcPr>
            <w:tcW w:w="0" w:type="auto"/>
            <w:gridSpan w:val="6"/>
            <w:vAlign w:val="center"/>
            <w:hideMark/>
          </w:tcPr>
          <w:p w:rsidR="00C02420" w:rsidRDefault="00C02420">
            <w:pPr>
              <w:rPr>
                <w:rFonts w:ascii="Arial" w:hAnsi="Arial" w:cs="Arial"/>
                <w:sz w:val="10"/>
                <w:szCs w:val="10"/>
              </w:rPr>
            </w:pPr>
            <w:r>
              <w:rPr>
                <w:rFonts w:ascii="Arial" w:hAnsi="Arial" w:cs="Arial"/>
                <w:sz w:val="10"/>
                <w:szCs w:val="10"/>
              </w:rPr>
              <w:t>Florida Building Code: Repeals provisions relating to development &amp; maintenance of biennial coastal building zone construction training program. Effective Date: July 1, 2013</w:t>
            </w:r>
          </w:p>
        </w:tc>
        <w:tc>
          <w:tcPr>
            <w:tcW w:w="0" w:type="auto"/>
            <w:vAlign w:val="center"/>
            <w:hideMark/>
          </w:tcPr>
          <w:p w:rsidR="00C02420" w:rsidRDefault="00C02420">
            <w:pPr>
              <w:rPr>
                <w:sz w:val="20"/>
                <w:szCs w:val="20"/>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601"/>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03/01/13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HOUSE Filed</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4525"/>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Referred to Business &amp; Professional Regulation Subcommittee; Regulatory Affairs Committee </w:t>
                  </w:r>
                </w:p>
              </w:tc>
            </w:tr>
          </w:tbl>
          <w:p w:rsidR="00C02420" w:rsidRDefault="00C02420">
            <w:pPr>
              <w:rPr>
                <w:rFonts w:ascii="Arial" w:hAnsi="Arial" w:cs="Arial"/>
                <w:sz w:val="13"/>
                <w:szCs w:val="13"/>
              </w:rPr>
            </w:pPr>
          </w:p>
        </w:tc>
      </w:tr>
      <w:tr w:rsidR="00C02420" w:rsidTr="00C02420">
        <w:trPr>
          <w:tblCellSpacing w:w="0" w:type="dxa"/>
          <w:jc w:val="center"/>
        </w:trPr>
        <w:tc>
          <w:tcPr>
            <w:tcW w:w="0" w:type="auto"/>
            <w:vAlign w:val="center"/>
            <w:hideMark/>
          </w:tcPr>
          <w:p w:rsidR="00C02420" w:rsidRDefault="00C02420">
            <w:pPr>
              <w:rPr>
                <w:rFonts w:ascii="Arial" w:hAnsi="Arial" w:cs="Arial"/>
                <w:sz w:val="13"/>
                <w:szCs w:val="13"/>
              </w:rPr>
            </w:pPr>
          </w:p>
        </w:tc>
        <w:tc>
          <w:tcPr>
            <w:tcW w:w="0" w:type="auto"/>
            <w:gridSpan w:val="7"/>
            <w:vAlign w:val="center"/>
            <w:hideMark/>
          </w:tcPr>
          <w:tbl>
            <w:tblPr>
              <w:tblW w:w="0" w:type="auto"/>
              <w:tblCellSpacing w:w="0" w:type="dxa"/>
              <w:tblCellMar>
                <w:left w:w="0" w:type="dxa"/>
                <w:right w:w="0" w:type="dxa"/>
              </w:tblCellMar>
              <w:tblLook w:val="04A0"/>
            </w:tblPr>
            <w:tblGrid>
              <w:gridCol w:w="390"/>
              <w:gridCol w:w="2969"/>
            </w:tblGrid>
            <w:tr w:rsidR="00C02420">
              <w:trPr>
                <w:tblCellSpacing w:w="0" w:type="dxa"/>
              </w:trPr>
              <w:tc>
                <w:tcPr>
                  <w:tcW w:w="0" w:type="auto"/>
                  <w:hideMark/>
                </w:tcPr>
                <w:p w:rsidR="00C02420" w:rsidRDefault="00C02420">
                  <w:pPr>
                    <w:rPr>
                      <w:rFonts w:ascii="Arial" w:hAnsi="Arial" w:cs="Arial"/>
                      <w:sz w:val="10"/>
                      <w:szCs w:val="10"/>
                    </w:rPr>
                  </w:pPr>
                  <w:r>
                    <w:rPr>
                      <w:rFonts w:ascii="Arial" w:hAnsi="Arial" w:cs="Arial"/>
                      <w:sz w:val="10"/>
                      <w:szCs w:val="10"/>
                    </w:rPr>
                    <w:t xml:space="preserve">03/06/13 </w:t>
                  </w:r>
                </w:p>
              </w:tc>
              <w:tc>
                <w:tcPr>
                  <w:tcW w:w="0" w:type="auto"/>
                  <w:vAlign w:val="center"/>
                  <w:hideMark/>
                </w:tcPr>
                <w:p w:rsidR="00C02420" w:rsidRDefault="00C02420">
                  <w:pPr>
                    <w:rPr>
                      <w:rFonts w:ascii="Arial" w:hAnsi="Arial" w:cs="Arial"/>
                      <w:sz w:val="10"/>
                      <w:szCs w:val="10"/>
                    </w:rPr>
                  </w:pPr>
                  <w:r>
                    <w:rPr>
                      <w:rFonts w:ascii="Arial" w:hAnsi="Arial" w:cs="Arial"/>
                      <w:sz w:val="10"/>
                      <w:szCs w:val="10"/>
                    </w:rPr>
                    <w:t xml:space="preserve">HOUSE Now in Business &amp; Professional Regulation Subcommittee </w:t>
                  </w:r>
                </w:p>
              </w:tc>
            </w:tr>
          </w:tbl>
          <w:p w:rsidR="00C02420" w:rsidRDefault="00C02420">
            <w:pPr>
              <w:rPr>
                <w:rFonts w:ascii="Arial" w:hAnsi="Arial" w:cs="Arial"/>
                <w:sz w:val="13"/>
                <w:szCs w:val="13"/>
              </w:rPr>
            </w:pPr>
          </w:p>
        </w:tc>
      </w:tr>
    </w:tbl>
    <w:p w:rsidR="006E3B26" w:rsidRDefault="006E3B26" w:rsidP="002B78B0">
      <w:pPr>
        <w:pStyle w:val="BlockText"/>
      </w:pPr>
    </w:p>
    <w:p w:rsidR="00156092" w:rsidRDefault="00156092" w:rsidP="002B78B0">
      <w:pPr>
        <w:pStyle w:val="BlockText"/>
      </w:pPr>
      <w:r>
        <w:t>Respectfully submitted,</w:t>
      </w:r>
    </w:p>
    <w:p w:rsidR="00E8267C" w:rsidRDefault="00E8267C" w:rsidP="002B78B0">
      <w:pPr>
        <w:pStyle w:val="BlockText"/>
      </w:pPr>
    </w:p>
    <w:p w:rsidR="00156092" w:rsidRDefault="00CF0F17" w:rsidP="002B78B0">
      <w:pPr>
        <w:pStyle w:val="BlockText"/>
      </w:pPr>
      <w:r>
        <w:t>March 10</w:t>
      </w:r>
      <w:r w:rsidR="0029168D">
        <w:t>, 2</w:t>
      </w:r>
      <w:r w:rsidR="00156092">
        <w:t>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78" w:rsidRDefault="00EF2378" w:rsidP="009A2CBA">
      <w:r>
        <w:separator/>
      </w:r>
    </w:p>
  </w:endnote>
  <w:endnote w:type="continuationSeparator" w:id="0">
    <w:p w:rsidR="00EF2378" w:rsidRDefault="00EF2378"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3" w:rsidRDefault="00291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A" w:rsidRDefault="00D550EA" w:rsidP="000421B5">
    <w:pPr>
      <w:pStyle w:val="Footer"/>
    </w:pPr>
    <w:r>
      <w:tab/>
    </w:r>
    <w:fldSimple w:instr=" PAGE   \* MERGEFORMAT ">
      <w:r w:rsidR="001F2D57">
        <w:rPr>
          <w:noProof/>
        </w:rPr>
        <w:t>2</w:t>
      </w:r>
    </w:fldSimple>
  </w:p>
  <w:p w:rsidR="00D550EA" w:rsidRPr="00911FE4" w:rsidRDefault="00291F13" w:rsidP="000421B5">
    <w:pPr>
      <w:pStyle w:val="Footer"/>
      <w:rPr>
        <w:rStyle w:val="DocID"/>
      </w:rPr>
    </w:pPr>
    <w:r w:rsidRPr="00291F13">
      <w:rPr>
        <w:rStyle w:val="DocID"/>
      </w:rPr>
      <w:t>#12612613_v1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A" w:rsidRPr="00911FE4" w:rsidRDefault="00D51096" w:rsidP="000421B5">
    <w:pPr>
      <w:pStyle w:val="Footer"/>
      <w:rPr>
        <w:rStyle w:val="DocID"/>
      </w:rPr>
    </w:pPr>
    <w:r>
      <w:rPr>
        <w:sz w:val="20"/>
      </w:rPr>
      <w:fldChar w:fldCharType="begin"/>
    </w:r>
    <w:r w:rsidR="00D550EA">
      <w:rPr>
        <w:sz w:val="20"/>
      </w:rPr>
      <w:instrText xml:space="preserve"> If </w:instrText>
    </w:r>
    <w:r>
      <w:rPr>
        <w:sz w:val="20"/>
      </w:rPr>
      <w:fldChar w:fldCharType="begin"/>
    </w:r>
    <w:r w:rsidR="00D550EA">
      <w:rPr>
        <w:sz w:val="20"/>
      </w:rPr>
      <w:instrText xml:space="preserve"> numpages </w:instrText>
    </w:r>
    <w:r>
      <w:rPr>
        <w:sz w:val="20"/>
      </w:rPr>
      <w:fldChar w:fldCharType="separate"/>
    </w:r>
    <w:r w:rsidR="001F2D57">
      <w:rPr>
        <w:noProof/>
        <w:sz w:val="20"/>
      </w:rPr>
      <w:instrText>1</w:instrText>
    </w:r>
    <w:r>
      <w:rPr>
        <w:sz w:val="20"/>
      </w:rPr>
      <w:fldChar w:fldCharType="end"/>
    </w:r>
    <w:r w:rsidR="00D550EA">
      <w:rPr>
        <w:sz w:val="20"/>
      </w:rPr>
      <w:instrText xml:space="preserve"> = 1 </w:instrText>
    </w:r>
    <w:r w:rsidR="00D550EA" w:rsidRPr="00CF0F17">
      <w:rPr>
        <w:rStyle w:val="DocID"/>
      </w:rPr>
      <w:instrText>#12612613_v1</w:instrText>
    </w:r>
    <w:r w:rsidR="00D550EA">
      <w:instrText xml:space="preserve"> ""</w:instrText>
    </w:r>
    <w:r w:rsidR="00D550EA">
      <w:rPr>
        <w:sz w:val="20"/>
      </w:rPr>
      <w:instrText xml:space="preserve"> </w:instrText>
    </w:r>
    <w:r w:rsidR="001F2D57">
      <w:rPr>
        <w:sz w:val="20"/>
      </w:rPr>
      <w:fldChar w:fldCharType="separate"/>
    </w:r>
    <w:r w:rsidR="001F2D57" w:rsidRPr="00CF0F17">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78" w:rsidRDefault="00EF2378" w:rsidP="009A2CBA">
      <w:r>
        <w:separator/>
      </w:r>
    </w:p>
  </w:footnote>
  <w:footnote w:type="continuationSeparator" w:id="0">
    <w:p w:rsidR="00EF2378" w:rsidRDefault="00EF2378" w:rsidP="009A2CBA">
      <w:r>
        <w:continuationSeparator/>
      </w:r>
    </w:p>
  </w:footnote>
  <w:footnote w:id="1">
    <w:p w:rsidR="00D550EA" w:rsidRDefault="00D550EA" w:rsidP="004E142A">
      <w:pPr>
        <w:pStyle w:val="BlockText"/>
      </w:pPr>
      <w:r>
        <w:rPr>
          <w:rStyle w:val="FootnoteReference"/>
        </w:rPr>
        <w:footnoteRef/>
      </w:r>
      <w:r>
        <w:t xml:space="preserve"> NEW: Petitions for Declaratory Statement filed with the Florida Building Commission are now heard in a single commission meeting.</w:t>
      </w:r>
    </w:p>
    <w:p w:rsidR="00D550EA" w:rsidRDefault="00D550EA" w:rsidP="004E142A">
      <w:pPr>
        <w:pStyle w:val="FootnoteText"/>
      </w:pPr>
    </w:p>
  </w:footnote>
  <w:footnote w:id="2">
    <w:p w:rsidR="00D550EA" w:rsidRPr="0038047E" w:rsidRDefault="00D550EA" w:rsidP="004E142A">
      <w:pPr>
        <w:pStyle w:val="BlockText"/>
      </w:pPr>
      <w:r>
        <w:rPr>
          <w:rStyle w:val="FootnoteReference"/>
        </w:rPr>
        <w:footnoteRef/>
      </w:r>
      <w:r>
        <w:t xml:space="preserve"> </w:t>
      </w:r>
      <w:r w:rsidRPr="0038047E">
        <w:t xml:space="preserve">As part of the TRANSFER of this commission from the now-defunct Department of Community Affairs to the Department of Business and Professional Regulation, all rules from </w:t>
      </w:r>
      <w:r>
        <w:t xml:space="preserve">former </w:t>
      </w:r>
      <w:r w:rsidRPr="0038047E">
        <w:t>Chapter 9N have been TRANSFERRED to Chapter 61G20, FAC.</w:t>
      </w:r>
    </w:p>
    <w:p w:rsidR="00D550EA" w:rsidRDefault="00D550EA"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3" w:rsidRDefault="00291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3" w:rsidRDefault="00291F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3" w:rsidRDefault="00291F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3164"/>
    <w:rsid w:val="00016A29"/>
    <w:rsid w:val="00026C6B"/>
    <w:rsid w:val="00027FC3"/>
    <w:rsid w:val="000302BC"/>
    <w:rsid w:val="000324B5"/>
    <w:rsid w:val="000341ED"/>
    <w:rsid w:val="000421B5"/>
    <w:rsid w:val="0005012E"/>
    <w:rsid w:val="000509E7"/>
    <w:rsid w:val="00054D0D"/>
    <w:rsid w:val="0005515D"/>
    <w:rsid w:val="00055700"/>
    <w:rsid w:val="00074EDF"/>
    <w:rsid w:val="00084298"/>
    <w:rsid w:val="000A3246"/>
    <w:rsid w:val="000A4BA4"/>
    <w:rsid w:val="000B0E17"/>
    <w:rsid w:val="000B1DDB"/>
    <w:rsid w:val="000B76DD"/>
    <w:rsid w:val="000D2555"/>
    <w:rsid w:val="000E17E8"/>
    <w:rsid w:val="000E6D1A"/>
    <w:rsid w:val="000F6911"/>
    <w:rsid w:val="00100E22"/>
    <w:rsid w:val="00103CDF"/>
    <w:rsid w:val="00107362"/>
    <w:rsid w:val="00110D3B"/>
    <w:rsid w:val="001114F7"/>
    <w:rsid w:val="001148B5"/>
    <w:rsid w:val="001156AF"/>
    <w:rsid w:val="00117224"/>
    <w:rsid w:val="00117544"/>
    <w:rsid w:val="00126ABD"/>
    <w:rsid w:val="0013367A"/>
    <w:rsid w:val="00135B1C"/>
    <w:rsid w:val="00146E4E"/>
    <w:rsid w:val="001476D7"/>
    <w:rsid w:val="00151720"/>
    <w:rsid w:val="00151F43"/>
    <w:rsid w:val="00156092"/>
    <w:rsid w:val="001572A8"/>
    <w:rsid w:val="00172C04"/>
    <w:rsid w:val="00175923"/>
    <w:rsid w:val="0019065B"/>
    <w:rsid w:val="001963BC"/>
    <w:rsid w:val="001B0E80"/>
    <w:rsid w:val="001B11FD"/>
    <w:rsid w:val="001B5A99"/>
    <w:rsid w:val="001B6195"/>
    <w:rsid w:val="001B73F6"/>
    <w:rsid w:val="001D1B70"/>
    <w:rsid w:val="001D25D1"/>
    <w:rsid w:val="001D50A8"/>
    <w:rsid w:val="001E327E"/>
    <w:rsid w:val="001F01B4"/>
    <w:rsid w:val="001F18CD"/>
    <w:rsid w:val="001F2D57"/>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4276"/>
    <w:rsid w:val="002857BE"/>
    <w:rsid w:val="00286558"/>
    <w:rsid w:val="00286B40"/>
    <w:rsid w:val="00290B6F"/>
    <w:rsid w:val="0029168D"/>
    <w:rsid w:val="00291F13"/>
    <w:rsid w:val="00294F80"/>
    <w:rsid w:val="002A4DD8"/>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239B0"/>
    <w:rsid w:val="0032598E"/>
    <w:rsid w:val="003319A7"/>
    <w:rsid w:val="003376F7"/>
    <w:rsid w:val="00340637"/>
    <w:rsid w:val="00340740"/>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50CC"/>
    <w:rsid w:val="003D34DF"/>
    <w:rsid w:val="003D6EAC"/>
    <w:rsid w:val="003D7308"/>
    <w:rsid w:val="003E13A7"/>
    <w:rsid w:val="003F5F1A"/>
    <w:rsid w:val="00416C25"/>
    <w:rsid w:val="004200FB"/>
    <w:rsid w:val="00425FE8"/>
    <w:rsid w:val="004406AC"/>
    <w:rsid w:val="00441CD1"/>
    <w:rsid w:val="00454846"/>
    <w:rsid w:val="0045543B"/>
    <w:rsid w:val="0046192D"/>
    <w:rsid w:val="004634BE"/>
    <w:rsid w:val="00465432"/>
    <w:rsid w:val="0047003F"/>
    <w:rsid w:val="00474D96"/>
    <w:rsid w:val="00484B9C"/>
    <w:rsid w:val="00492027"/>
    <w:rsid w:val="004A0671"/>
    <w:rsid w:val="004A451E"/>
    <w:rsid w:val="004A5613"/>
    <w:rsid w:val="004A582F"/>
    <w:rsid w:val="004A6E9B"/>
    <w:rsid w:val="004B196B"/>
    <w:rsid w:val="004C458B"/>
    <w:rsid w:val="004C63D8"/>
    <w:rsid w:val="004E142A"/>
    <w:rsid w:val="004E35D0"/>
    <w:rsid w:val="004E61C2"/>
    <w:rsid w:val="004E7067"/>
    <w:rsid w:val="004F030C"/>
    <w:rsid w:val="004F3D87"/>
    <w:rsid w:val="00500503"/>
    <w:rsid w:val="00504537"/>
    <w:rsid w:val="00512724"/>
    <w:rsid w:val="00520F5E"/>
    <w:rsid w:val="005237C4"/>
    <w:rsid w:val="00530CD6"/>
    <w:rsid w:val="00535353"/>
    <w:rsid w:val="00535A2B"/>
    <w:rsid w:val="005463F4"/>
    <w:rsid w:val="00553CBE"/>
    <w:rsid w:val="00555FBF"/>
    <w:rsid w:val="005A61CC"/>
    <w:rsid w:val="005A74C3"/>
    <w:rsid w:val="005B212C"/>
    <w:rsid w:val="005B2CCD"/>
    <w:rsid w:val="005B558F"/>
    <w:rsid w:val="005C08FA"/>
    <w:rsid w:val="005C40F9"/>
    <w:rsid w:val="005C5CFC"/>
    <w:rsid w:val="005D217B"/>
    <w:rsid w:val="005D5F3E"/>
    <w:rsid w:val="005F17D4"/>
    <w:rsid w:val="005F1FB3"/>
    <w:rsid w:val="005F4A79"/>
    <w:rsid w:val="005F705E"/>
    <w:rsid w:val="005F770C"/>
    <w:rsid w:val="00600D46"/>
    <w:rsid w:val="0060730E"/>
    <w:rsid w:val="00614279"/>
    <w:rsid w:val="00620CC5"/>
    <w:rsid w:val="0063019F"/>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3B26"/>
    <w:rsid w:val="006E5C27"/>
    <w:rsid w:val="006F336C"/>
    <w:rsid w:val="007017B0"/>
    <w:rsid w:val="0070218E"/>
    <w:rsid w:val="007065A1"/>
    <w:rsid w:val="007135EE"/>
    <w:rsid w:val="007150E1"/>
    <w:rsid w:val="00722B80"/>
    <w:rsid w:val="00760E2D"/>
    <w:rsid w:val="00774A2B"/>
    <w:rsid w:val="007755F6"/>
    <w:rsid w:val="00780CCE"/>
    <w:rsid w:val="007862BD"/>
    <w:rsid w:val="00793514"/>
    <w:rsid w:val="00797252"/>
    <w:rsid w:val="007977D0"/>
    <w:rsid w:val="007A040E"/>
    <w:rsid w:val="007A2C34"/>
    <w:rsid w:val="007A7335"/>
    <w:rsid w:val="007B455D"/>
    <w:rsid w:val="007C3596"/>
    <w:rsid w:val="007E128E"/>
    <w:rsid w:val="007E4176"/>
    <w:rsid w:val="007F2F12"/>
    <w:rsid w:val="007F63B9"/>
    <w:rsid w:val="007F6E51"/>
    <w:rsid w:val="00801B02"/>
    <w:rsid w:val="00812FF0"/>
    <w:rsid w:val="00813499"/>
    <w:rsid w:val="00820D75"/>
    <w:rsid w:val="00821688"/>
    <w:rsid w:val="008219AB"/>
    <w:rsid w:val="0082467E"/>
    <w:rsid w:val="008271F6"/>
    <w:rsid w:val="00832281"/>
    <w:rsid w:val="00832A42"/>
    <w:rsid w:val="0083319A"/>
    <w:rsid w:val="00833649"/>
    <w:rsid w:val="008642DB"/>
    <w:rsid w:val="00864F61"/>
    <w:rsid w:val="008667F9"/>
    <w:rsid w:val="008714D7"/>
    <w:rsid w:val="00875906"/>
    <w:rsid w:val="00883771"/>
    <w:rsid w:val="0089089A"/>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9008DD"/>
    <w:rsid w:val="009024B4"/>
    <w:rsid w:val="0090334E"/>
    <w:rsid w:val="009037AF"/>
    <w:rsid w:val="00912B18"/>
    <w:rsid w:val="00913DE9"/>
    <w:rsid w:val="00922A6D"/>
    <w:rsid w:val="00927A0D"/>
    <w:rsid w:val="00927EF0"/>
    <w:rsid w:val="00933C83"/>
    <w:rsid w:val="00936542"/>
    <w:rsid w:val="00937943"/>
    <w:rsid w:val="00940447"/>
    <w:rsid w:val="009408A6"/>
    <w:rsid w:val="00941C32"/>
    <w:rsid w:val="00944330"/>
    <w:rsid w:val="009459C3"/>
    <w:rsid w:val="0095190E"/>
    <w:rsid w:val="00952158"/>
    <w:rsid w:val="00952ED0"/>
    <w:rsid w:val="009615F7"/>
    <w:rsid w:val="0096439D"/>
    <w:rsid w:val="009679F7"/>
    <w:rsid w:val="00972224"/>
    <w:rsid w:val="0098369B"/>
    <w:rsid w:val="00990086"/>
    <w:rsid w:val="009939EF"/>
    <w:rsid w:val="00994DC4"/>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A03908"/>
    <w:rsid w:val="00A05724"/>
    <w:rsid w:val="00A23BA0"/>
    <w:rsid w:val="00A24F93"/>
    <w:rsid w:val="00A3799B"/>
    <w:rsid w:val="00A413D5"/>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0C03"/>
    <w:rsid w:val="00AE40E2"/>
    <w:rsid w:val="00AE4928"/>
    <w:rsid w:val="00AF4CC5"/>
    <w:rsid w:val="00B04E9C"/>
    <w:rsid w:val="00B11BE8"/>
    <w:rsid w:val="00B1354A"/>
    <w:rsid w:val="00B34CB8"/>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5744"/>
    <w:rsid w:val="00BF5A88"/>
    <w:rsid w:val="00C00519"/>
    <w:rsid w:val="00C02420"/>
    <w:rsid w:val="00C0615F"/>
    <w:rsid w:val="00C10CCD"/>
    <w:rsid w:val="00C10FB4"/>
    <w:rsid w:val="00C15A97"/>
    <w:rsid w:val="00C16757"/>
    <w:rsid w:val="00C17A11"/>
    <w:rsid w:val="00C41104"/>
    <w:rsid w:val="00C42CAD"/>
    <w:rsid w:val="00C46B9E"/>
    <w:rsid w:val="00C527C3"/>
    <w:rsid w:val="00C552DE"/>
    <w:rsid w:val="00C55BAE"/>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7C33"/>
    <w:rsid w:val="00D15049"/>
    <w:rsid w:val="00D17EF8"/>
    <w:rsid w:val="00D31E05"/>
    <w:rsid w:val="00D35E4B"/>
    <w:rsid w:val="00D42313"/>
    <w:rsid w:val="00D45220"/>
    <w:rsid w:val="00D51096"/>
    <w:rsid w:val="00D51EF8"/>
    <w:rsid w:val="00D532DF"/>
    <w:rsid w:val="00D550EA"/>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72F"/>
    <w:rsid w:val="00DF0B84"/>
    <w:rsid w:val="00DF255F"/>
    <w:rsid w:val="00DF4C21"/>
    <w:rsid w:val="00E07E81"/>
    <w:rsid w:val="00E10E84"/>
    <w:rsid w:val="00E16D83"/>
    <w:rsid w:val="00E30C2C"/>
    <w:rsid w:val="00E311DC"/>
    <w:rsid w:val="00E31752"/>
    <w:rsid w:val="00E3534A"/>
    <w:rsid w:val="00E4082C"/>
    <w:rsid w:val="00E4444A"/>
    <w:rsid w:val="00E576B4"/>
    <w:rsid w:val="00E66470"/>
    <w:rsid w:val="00E71BDF"/>
    <w:rsid w:val="00E8267C"/>
    <w:rsid w:val="00E95DE1"/>
    <w:rsid w:val="00E97E26"/>
    <w:rsid w:val="00EA1B72"/>
    <w:rsid w:val="00EA3A1A"/>
    <w:rsid w:val="00EA49A8"/>
    <w:rsid w:val="00EA6CA4"/>
    <w:rsid w:val="00EB0314"/>
    <w:rsid w:val="00EB2DD7"/>
    <w:rsid w:val="00EB56F6"/>
    <w:rsid w:val="00EB61E2"/>
    <w:rsid w:val="00EC0471"/>
    <w:rsid w:val="00EC3C0E"/>
    <w:rsid w:val="00EC539A"/>
    <w:rsid w:val="00ED39C3"/>
    <w:rsid w:val="00EE41E2"/>
    <w:rsid w:val="00EF1953"/>
    <w:rsid w:val="00EF2378"/>
    <w:rsid w:val="00EF2D9E"/>
    <w:rsid w:val="00EF3BC8"/>
    <w:rsid w:val="00EF7F7D"/>
    <w:rsid w:val="00F003DC"/>
    <w:rsid w:val="00F023FE"/>
    <w:rsid w:val="00F07308"/>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1098"/>
    <w:rsid w:val="00F9398C"/>
    <w:rsid w:val="00F9535D"/>
    <w:rsid w:val="00F97BF7"/>
    <w:rsid w:val="00FA0D68"/>
    <w:rsid w:val="00FA2710"/>
    <w:rsid w:val="00FA5090"/>
    <w:rsid w:val="00FB554A"/>
    <w:rsid w:val="00FB588A"/>
    <w:rsid w:val="00FC0694"/>
    <w:rsid w:val="00FC6F29"/>
    <w:rsid w:val="00FD1341"/>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14309</Words>
  <Characters>86894</Characters>
  <Application>Microsoft Office Word</Application>
  <DocSecurity>0</DocSecurity>
  <Lines>3112</Lines>
  <Paragraphs>1400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100386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2013-03-11T15:04:00Z</cp:lastPrinted>
  <dcterms:created xsi:type="dcterms:W3CDTF">2013-03-11T15:07:00Z</dcterms:created>
  <dcterms:modified xsi:type="dcterms:W3CDTF">2013-03-11T15:07:00Z</dcterms:modified>
  <cp:category> </cp:category>
  <cp:contentStatus> </cp:contentStatus>
</cp:coreProperties>
</file>