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1F07" w:rsidRPr="00B82F44" w:rsidRDefault="00F9535D" w:rsidP="00146E4E">
      <w:pPr>
        <w:pStyle w:val="BlockText"/>
        <w:jc w:val="center"/>
        <w:rPr>
          <w:b/>
          <w:sz w:val="28"/>
          <w:szCs w:val="28"/>
        </w:rPr>
      </w:pPr>
      <w:r w:rsidRPr="00B82F44">
        <w:rPr>
          <w:b/>
          <w:sz w:val="28"/>
          <w:szCs w:val="28"/>
        </w:rPr>
        <w:t>The Florida Bar: Real Property, Probate and Trust Law Section</w:t>
      </w:r>
    </w:p>
    <w:p w:rsidR="009A10B6" w:rsidRPr="00832A42" w:rsidRDefault="00F9535D" w:rsidP="00832A42">
      <w:pPr>
        <w:pStyle w:val="BlockText"/>
        <w:jc w:val="center"/>
        <w:rPr>
          <w:b/>
          <w:sz w:val="28"/>
          <w:szCs w:val="28"/>
        </w:rPr>
      </w:pPr>
      <w:r w:rsidRPr="00B82F44">
        <w:rPr>
          <w:b/>
          <w:sz w:val="28"/>
          <w:szCs w:val="28"/>
        </w:rPr>
        <w:t>Construction Law Committee</w:t>
      </w:r>
    </w:p>
    <w:p w:rsidR="009E1F25" w:rsidRPr="001476D7" w:rsidRDefault="009E1F25" w:rsidP="00D8155F">
      <w:pPr>
        <w:pStyle w:val="BlockText"/>
        <w:jc w:val="center"/>
        <w:rPr>
          <w:b/>
        </w:rPr>
      </w:pPr>
    </w:p>
    <w:p w:rsidR="00F9535D" w:rsidRPr="00DF255F" w:rsidRDefault="00DE5A5D" w:rsidP="00D8155F">
      <w:pPr>
        <w:pStyle w:val="BlockText"/>
        <w:jc w:val="center"/>
        <w:rPr>
          <w:b/>
          <w:i/>
          <w:sz w:val="28"/>
          <w:szCs w:val="28"/>
          <w:u w:val="single"/>
        </w:rPr>
      </w:pPr>
      <w:r w:rsidRPr="00DF255F">
        <w:rPr>
          <w:b/>
          <w:i/>
          <w:sz w:val="28"/>
          <w:szCs w:val="28"/>
          <w:u w:val="single"/>
        </w:rPr>
        <w:t>Construction Regulation</w:t>
      </w:r>
      <w:r w:rsidR="00F9535D" w:rsidRPr="00DF255F">
        <w:rPr>
          <w:b/>
          <w:i/>
          <w:sz w:val="28"/>
          <w:szCs w:val="28"/>
          <w:u w:val="single"/>
        </w:rPr>
        <w:t xml:space="preserve"> Subcommittee</w:t>
      </w:r>
      <w:r w:rsidR="00251EB1" w:rsidRPr="00DF255F">
        <w:rPr>
          <w:b/>
          <w:i/>
          <w:sz w:val="28"/>
          <w:szCs w:val="28"/>
          <w:u w:val="single"/>
        </w:rPr>
        <w:t xml:space="preserve"> Monthly Report</w:t>
      </w:r>
    </w:p>
    <w:p w:rsidR="00F9535D" w:rsidRDefault="001476D7" w:rsidP="00D8155F">
      <w:pPr>
        <w:pStyle w:val="BlockText"/>
        <w:jc w:val="center"/>
      </w:pPr>
      <w:r>
        <w:t>Month of</w:t>
      </w:r>
      <w:r w:rsidR="00944191">
        <w:t>: December</w:t>
      </w:r>
      <w:r w:rsidR="006B60DD">
        <w:t xml:space="preserve"> </w:t>
      </w:r>
      <w:r w:rsidR="00944330">
        <w:t>2012</w:t>
      </w:r>
    </w:p>
    <w:p w:rsidR="00D9771C" w:rsidRDefault="00D9771C" w:rsidP="00F9535D">
      <w:pPr>
        <w:pStyle w:val="BlockText"/>
      </w:pPr>
    </w:p>
    <w:p w:rsidR="00013164" w:rsidRDefault="00D9771C" w:rsidP="00D9771C">
      <w:pPr>
        <w:pStyle w:val="BlockText"/>
        <w:rPr>
          <w:b/>
          <w:u w:val="single"/>
        </w:rPr>
      </w:pPr>
      <w:r w:rsidRPr="00D9771C">
        <w:rPr>
          <w:b/>
          <w:u w:val="single"/>
        </w:rPr>
        <w:t>Appellate Decisions:</w:t>
      </w:r>
    </w:p>
    <w:p w:rsidR="00013164" w:rsidRDefault="00013164" w:rsidP="00D9771C">
      <w:pPr>
        <w:pStyle w:val="BlockText"/>
        <w:rPr>
          <w:b/>
          <w:u w:val="single"/>
        </w:rPr>
      </w:pPr>
    </w:p>
    <w:p w:rsidR="00201415" w:rsidRDefault="00201415" w:rsidP="00D9771C">
      <w:pPr>
        <w:pStyle w:val="BlockText"/>
      </w:pPr>
      <w:r>
        <w:tab/>
        <w:t xml:space="preserve">Ragu P. </w:t>
      </w:r>
      <w:r>
        <w:rPr>
          <w:i/>
        </w:rPr>
        <w:t>Nath, A. P. v. State of Florida, Department of Health</w:t>
      </w:r>
      <w:r>
        <w:t>, 37 Fla. L. Weekly D2695a, Case No. 1D12-3358, opinion filed November 2012. Appeal from an emergency order suspending an acupuncturist's license for inappropriate sexual conduct with female patients was quashed for failure of the department to make a finding that the suspension was the less harsh remedy to stop patient harm (such as limiting his practice only to male patients).</w:t>
      </w:r>
    </w:p>
    <w:p w:rsidR="00201415" w:rsidRDefault="00201415" w:rsidP="00D9771C">
      <w:pPr>
        <w:pStyle w:val="BlockText"/>
      </w:pPr>
    </w:p>
    <w:p w:rsidR="00201415" w:rsidRDefault="00201415" w:rsidP="00D9771C">
      <w:pPr>
        <w:pStyle w:val="BlockText"/>
      </w:pPr>
      <w:r>
        <w:tab/>
      </w:r>
      <w:r>
        <w:rPr>
          <w:i/>
        </w:rPr>
        <w:t>Xavier and Perez v. Leview Boymegreen Marquis Developers, LLC,</w:t>
      </w:r>
      <w:r>
        <w:t xml:space="preserve"> 37 Fla. L. Weekly D2668a, Case No. 3D11-549, opinion filed on November 21, 2012. Buyers</w:t>
      </w:r>
      <w:r w:rsidR="004D139A">
        <w:t>'</w:t>
      </w:r>
      <w:r>
        <w:t xml:space="preserve"> suit for return of deposit paid to purchase condominium unit was dism</w:t>
      </w:r>
      <w:r w:rsidR="004D139A">
        <w:t xml:space="preserve">issed with prejudice by trial court by reason of the complaint </w:t>
      </w:r>
      <w:r>
        <w:t>reflect</w:t>
      </w:r>
      <w:r w:rsidR="004D139A">
        <w:t>ing</w:t>
      </w:r>
      <w:r>
        <w:t xml:space="preserve"> that</w:t>
      </w:r>
      <w:r w:rsidR="004D139A">
        <w:t xml:space="preserve"> the four (4) year statute of limitations had run. In reversing and remanding, the appellate court held that the statute of limitations defense cannot be conclusively established as a matter of fact from the face of the complaint. Under the facts of this case, the developer allegedly made an oral representation until contact execution that the condominium until described the in the sales agreement could be swapped with one having a different view, but attempted to enforce the sale and purchase of the original unit.</w:t>
      </w:r>
    </w:p>
    <w:p w:rsidR="004D139A" w:rsidRDefault="004D139A" w:rsidP="00D9771C">
      <w:pPr>
        <w:pStyle w:val="BlockText"/>
      </w:pPr>
      <w:r>
        <w:t>Editor's Note: It appears that the buyers will still have to develop a sufficient factual record upon remand to (1) prove the oral agreement, and (2) demonstrate when the alleged fraud was first discovered.</w:t>
      </w:r>
    </w:p>
    <w:p w:rsidR="004D139A" w:rsidRDefault="004D139A" w:rsidP="00D9771C">
      <w:pPr>
        <w:pStyle w:val="BlockText"/>
      </w:pPr>
    </w:p>
    <w:p w:rsidR="004D139A" w:rsidRDefault="004D139A" w:rsidP="00D9771C">
      <w:pPr>
        <w:pStyle w:val="BlockText"/>
      </w:pPr>
      <w:r>
        <w:tab/>
      </w:r>
      <w:r w:rsidRPr="004D139A">
        <w:rPr>
          <w:i/>
        </w:rPr>
        <w:t>Richard O. Wolfe, II and H. Michelle Wolfe v. Culpepper Constructors, Inc.</w:t>
      </w:r>
      <w:r>
        <w:t>, 37 Fla. L. Weekly D2707a, Case No. 2D10-3670, opinion filed November 28, 2012.</w:t>
      </w:r>
      <w:r w:rsidR="00B34258">
        <w:t xml:space="preserve"> In suit to foreclosure a construction lien for $91,261.65, owners counterclaimed for defective workmanship and made an "joint" offer of judgment to pay $12,500 each ($25,000 total) to settle all claims, which offer was rejected. The final judgment for contractor was only $9,074.06, but the trial court refused to award attorney fees to the owners based on a "prevailing party" basis. In reversing and remanding on this point, the appellate court </w:t>
      </w:r>
      <w:r w:rsidR="00B34258" w:rsidRPr="00B34258">
        <w:rPr>
          <w:u w:val="single"/>
        </w:rPr>
        <w:t>receded</w:t>
      </w:r>
      <w:r w:rsidR="00B34258">
        <w:t xml:space="preserve"> from its earlier decision in </w:t>
      </w:r>
      <w:r w:rsidR="00B34258" w:rsidRPr="00B34258">
        <w:rPr>
          <w:i/>
        </w:rPr>
        <w:t>Spring Lake Improvement District v. Tyrell</w:t>
      </w:r>
      <w:r w:rsidR="00B34258">
        <w:t xml:space="preserve">, 868 So. 2d 656 (Fla. 2d DEC 2004), based </w:t>
      </w:r>
      <w:r w:rsidR="001D419D">
        <w:t>on the plain meaning of the statute</w:t>
      </w:r>
      <w:r w:rsidR="001D419D" w:rsidRPr="00E72B1D">
        <w:t xml:space="preserve"> and</w:t>
      </w:r>
      <w:r w:rsidR="001D419D" w:rsidRPr="001D419D">
        <w:rPr>
          <w:i/>
        </w:rPr>
        <w:t xml:space="preserve"> Hendry Tractor Co. v. Fernandez</w:t>
      </w:r>
      <w:r w:rsidR="001D419D">
        <w:t>, 432 So. 2d 1315 (Fla. 1983)</w:t>
      </w:r>
      <w:r w:rsidR="00E72B1D">
        <w:t>, in holding that the contractor was entitled to an award of costs as the party who recovered judgment.</w:t>
      </w:r>
    </w:p>
    <w:p w:rsidR="00E72B1D" w:rsidRDefault="00E72B1D" w:rsidP="00D9771C">
      <w:pPr>
        <w:pStyle w:val="BlockText"/>
      </w:pPr>
    </w:p>
    <w:p w:rsidR="00E72B1D" w:rsidRPr="00E72B1D" w:rsidRDefault="00E72B1D" w:rsidP="00D9771C">
      <w:pPr>
        <w:pStyle w:val="BlockText"/>
      </w:pPr>
      <w:r>
        <w:tab/>
      </w:r>
      <w:r>
        <w:rPr>
          <w:i/>
        </w:rPr>
        <w:t xml:space="preserve">Landmark American Insurance Company v. Santa Rosa Beach Development Corp. I, et al,, </w:t>
      </w:r>
      <w:r>
        <w:t xml:space="preserve">37 Fla. L. Weekly D2759a, Case No. 1D11-4882, opinion issued November 30, 2012. Condominium association's claim against developer and contractor for water intrusion damages caused by defective cladding </w:t>
      </w:r>
      <w:r w:rsidR="00341576">
        <w:t xml:space="preserve">based on warranty provisions of s. 718.203 </w:t>
      </w:r>
      <w:r>
        <w:t xml:space="preserve">was resolved </w:t>
      </w:r>
      <w:r w:rsidR="002E4651">
        <w:t xml:space="preserve">by </w:t>
      </w:r>
      <w:r>
        <w:t xml:space="preserve">an agreement to make </w:t>
      </w:r>
      <w:r w:rsidR="00341576">
        <w:t xml:space="preserve">warranty </w:t>
      </w:r>
      <w:r>
        <w:t xml:space="preserve">repairs in exchange for full release of liability. When water intrusion problems continued </w:t>
      </w:r>
      <w:r w:rsidR="00341576">
        <w:t xml:space="preserve">after two hurricanes, </w:t>
      </w:r>
      <w:r>
        <w:t xml:space="preserve">association </w:t>
      </w:r>
      <w:r w:rsidR="00341576">
        <w:t xml:space="preserve">filed claim against developer's insurer, which was denied due to policy exclusion for faulty, inadequate or defective design, workmanship, construction or repair. When association filed suit, insurer filed a third party complaint again </w:t>
      </w:r>
      <w:r w:rsidR="00341576">
        <w:lastRenderedPageBreak/>
        <w:t xml:space="preserve">developer and contractor, and raised a defense that the warranty repair agreement release also release the insurer. </w:t>
      </w:r>
      <w:r w:rsidR="002E4651">
        <w:t>Summary judgment against the insurer was affirmed.</w:t>
      </w:r>
    </w:p>
    <w:p w:rsidR="002E4651" w:rsidRDefault="002E4651" w:rsidP="00D9771C">
      <w:pPr>
        <w:pStyle w:val="BlockText"/>
      </w:pPr>
      <w:r>
        <w:t>Editor's Note: Concurring opinion by Judge Makar points out that the insurer's subrogation rights may have been impaired by the warranty settlement agreement, possibly resulting in a breach of the insurance contract.</w:t>
      </w:r>
    </w:p>
    <w:p w:rsidR="002E4651" w:rsidRDefault="002E4651" w:rsidP="00D9771C">
      <w:pPr>
        <w:pStyle w:val="BlockText"/>
      </w:pPr>
    </w:p>
    <w:p w:rsidR="002E4651" w:rsidRDefault="002E4651" w:rsidP="00D9771C">
      <w:pPr>
        <w:pStyle w:val="BlockText"/>
      </w:pPr>
      <w:r>
        <w:tab/>
      </w:r>
      <w:r>
        <w:rPr>
          <w:i/>
        </w:rPr>
        <w:t xml:space="preserve">Caridad Vasques v. First Horizon Homes Loans, </w:t>
      </w:r>
      <w:r>
        <w:t xml:space="preserve">37 Fla. L. Weekly D2773a, Case No. 3D11-2972, </w:t>
      </w:r>
      <w:r w:rsidR="001D3181">
        <w:t>opinion filed December 5, 2012. Affirmed order denying motion for fees due to lack of pleading entitlement based on contractual provisions.</w:t>
      </w:r>
    </w:p>
    <w:p w:rsidR="001D3181" w:rsidRDefault="001D3181" w:rsidP="00D9771C">
      <w:pPr>
        <w:pStyle w:val="BlockText"/>
      </w:pPr>
    </w:p>
    <w:p w:rsidR="001D3181" w:rsidRDefault="001D3181" w:rsidP="00D9771C">
      <w:pPr>
        <w:pStyle w:val="BlockText"/>
      </w:pPr>
      <w:r>
        <w:tab/>
      </w:r>
      <w:r w:rsidRPr="001D3181">
        <w:rPr>
          <w:i/>
        </w:rPr>
        <w:t>Current Builders of Florida, Inc. v. Travelers Casualty and Surety Company of America, et. al,</w:t>
      </w:r>
      <w:r>
        <w:t>, 38 Fla. L. Weekly D31a, Case No. 3D11-2570, opinion filed December 19, 2012. Trail court's assessment of prejudgment interest in favor of owner/developer from completion of subcontractor's work was reversed and remanded for a recalculation based on date owner paid contractor due to subcontract provision that contractor would "pay when paid" (and contractor was paid by transfer of real estate by owner/developer).</w:t>
      </w:r>
    </w:p>
    <w:p w:rsidR="001D3181" w:rsidRDefault="001D3181" w:rsidP="00D9771C">
      <w:pPr>
        <w:pStyle w:val="BlockText"/>
      </w:pPr>
    </w:p>
    <w:p w:rsidR="001D3181" w:rsidRDefault="001D3181" w:rsidP="00D9771C">
      <w:pPr>
        <w:pStyle w:val="BlockText"/>
      </w:pPr>
      <w:r>
        <w:tab/>
      </w:r>
      <w:r w:rsidRPr="001D3181">
        <w:rPr>
          <w:i/>
        </w:rPr>
        <w:t>U. S. Bank Nat. Assn v. Quadomain Condominium Association, Inc</w:t>
      </w:r>
      <w:r>
        <w:t>., 38 Fla. L. Weekly D20b, Case No. 4D12-422</w:t>
      </w:r>
      <w:r w:rsidR="00EB0EBA">
        <w:t>, opinion filed December 19, 2012.  Filing of notice of lis pendens in mortgage foreclosure prevented court from having jurisdiction to foreclose condominium association's lien for unpaid assessments in a separate action since the only way to enforce a property interest that is unrecorded at the time the lis pendens is recorded is by timely intervening in the suit creating the lis pendens, and all other action are barred. Accordingly, denial of lender's motion to vacate final judgment for association was reversed.</w:t>
      </w:r>
    </w:p>
    <w:p w:rsidR="00EB0EBA" w:rsidRDefault="00EB0EBA" w:rsidP="00D9771C">
      <w:pPr>
        <w:pStyle w:val="BlockText"/>
      </w:pPr>
    </w:p>
    <w:p w:rsidR="00EB0EBA" w:rsidRPr="001D3181" w:rsidRDefault="00EB0EBA" w:rsidP="00D9771C">
      <w:pPr>
        <w:pStyle w:val="BlockText"/>
      </w:pPr>
      <w:r>
        <w:tab/>
      </w:r>
      <w:r w:rsidRPr="00EB0EBA">
        <w:rPr>
          <w:i/>
        </w:rPr>
        <w:t>Rocka Fuerta Construction, Inc. v. Southwick, Inc</w:t>
      </w:r>
      <w:r>
        <w:t xml:space="preserve">., 38 Fla. L. Weekly D79a, Case No. 5D11-2994, opinion filed December 28, 2012. </w:t>
      </w:r>
      <w:r w:rsidR="008C5DD9">
        <w:t xml:space="preserve">Owner and contractor settled a claim of $42,835 with an agreement for owner to pay only $8,000, owner </w:t>
      </w:r>
      <w:r>
        <w:t>breached</w:t>
      </w:r>
      <w:r w:rsidR="008C5DD9">
        <w:t xml:space="preserve"> </w:t>
      </w:r>
      <w:r>
        <w:t>by issuing</w:t>
      </w:r>
      <w:r w:rsidR="008C5DD9">
        <w:t xml:space="preserve"> a dishonored check. Contractor's suit for full amount of claim was dismissed with dismissal by the trial court </w:t>
      </w:r>
      <w:r>
        <w:t xml:space="preserve">as a sanction based on contractor's alleged </w:t>
      </w:r>
      <w:r w:rsidR="008C5DD9">
        <w:t>fraud for failing to first seek recession of the settlement agreement and filing suit without referring to the settlement agreement. The appellate court held that there was a lack of the type of egregious misconduct or extreme circumstances too support dismissal with prejudice, reversed the dismissal for lack of any fraud, and pointed out that the defendant's position could have been raised instead as an affirmative defense.</w:t>
      </w:r>
    </w:p>
    <w:p w:rsidR="002E4651" w:rsidRDefault="002E4651" w:rsidP="00D9771C">
      <w:pPr>
        <w:pStyle w:val="BlockText"/>
      </w:pPr>
    </w:p>
    <w:p w:rsidR="002E4651" w:rsidRDefault="002E4651" w:rsidP="00D9771C">
      <w:pPr>
        <w:pStyle w:val="BlockText"/>
      </w:pPr>
    </w:p>
    <w:p w:rsidR="00D9771C" w:rsidRDefault="00EB61E2" w:rsidP="00D9771C">
      <w:pPr>
        <w:pStyle w:val="BlockText"/>
      </w:pPr>
      <w:r>
        <w:rPr>
          <w:b/>
          <w:u w:val="single"/>
        </w:rPr>
        <w:t>DOAH</w:t>
      </w:r>
      <w:r w:rsidR="00D9771C" w:rsidRPr="00D9771C">
        <w:rPr>
          <w:b/>
          <w:u w:val="single"/>
        </w:rPr>
        <w:t>:</w:t>
      </w:r>
      <w:r w:rsidR="0083319A">
        <w:t xml:space="preserve"> </w:t>
      </w:r>
    </w:p>
    <w:p w:rsidR="00940447" w:rsidRDefault="00940447" w:rsidP="00D9771C">
      <w:pPr>
        <w:pStyle w:val="BlockText"/>
      </w:pPr>
    </w:p>
    <w:p w:rsidR="0060730E" w:rsidRPr="00BC5032" w:rsidRDefault="00940447" w:rsidP="00A9360E">
      <w:pPr>
        <w:pStyle w:val="BlockText"/>
        <w:rPr>
          <w:rFonts w:eastAsia="Times New Roman"/>
          <w:noProof/>
          <w:color w:val="000000"/>
        </w:rPr>
      </w:pPr>
      <w:r>
        <w:tab/>
      </w:r>
      <w:r w:rsidR="00E4082C">
        <w:t>(Nothing to report)</w:t>
      </w:r>
    </w:p>
    <w:p w:rsidR="00290B6F" w:rsidRDefault="00290B6F" w:rsidP="00F9535D">
      <w:pPr>
        <w:pStyle w:val="BlockText"/>
        <w:rPr>
          <w:b/>
          <w:u w:val="single"/>
        </w:rPr>
      </w:pPr>
    </w:p>
    <w:p w:rsidR="00D85984" w:rsidRPr="008C5DD9" w:rsidRDefault="00D9771C" w:rsidP="00F9535D">
      <w:pPr>
        <w:pStyle w:val="BlockText"/>
        <w:rPr>
          <w:b/>
        </w:rPr>
      </w:pPr>
      <w:r w:rsidRPr="00D9771C">
        <w:rPr>
          <w:b/>
          <w:u w:val="single"/>
        </w:rPr>
        <w:t>Agency Actions:</w:t>
      </w:r>
      <w:r w:rsidR="00AE4928">
        <w:rPr>
          <w:b/>
        </w:rPr>
        <w:t xml:space="preserve"> </w:t>
      </w:r>
      <w:r w:rsidR="005B2CCD">
        <w:rPr>
          <w:b/>
        </w:rPr>
        <w:t>It is important to note that t</w:t>
      </w:r>
      <w:r w:rsidR="00952158">
        <w:t>he legislature passed Chapter 2012-116</w:t>
      </w:r>
      <w:r w:rsidR="00555FBF" w:rsidRPr="003B5B30">
        <w:t>, e</w:t>
      </w:r>
      <w:r w:rsidR="00D85984" w:rsidRPr="003B5B30">
        <w:t>ffective July 1, 2012, overturning</w:t>
      </w:r>
      <w:r w:rsidR="00262A25" w:rsidRPr="003B5B30">
        <w:t xml:space="preserve"> the Florida Supreme Court decision in</w:t>
      </w:r>
      <w:r w:rsidR="00D85984" w:rsidRPr="003B5B30">
        <w:t xml:space="preserve"> </w:t>
      </w:r>
      <w:r w:rsidR="00722B80" w:rsidRPr="003B5B30">
        <w:rPr>
          <w:i/>
          <w:u w:val="single"/>
        </w:rPr>
        <w:t>Whiley v. Scott</w:t>
      </w:r>
      <w:r w:rsidR="00D85984" w:rsidRPr="003B5B30">
        <w:t xml:space="preserve"> </w:t>
      </w:r>
      <w:r w:rsidR="00D85984">
        <w:t xml:space="preserve">by </w:t>
      </w:r>
      <w:r w:rsidR="00D85984" w:rsidRPr="00D85984">
        <w:t>confirming the Governor’s authority to require</w:t>
      </w:r>
      <w:r w:rsidR="009A1012" w:rsidRPr="00D85984">
        <w:t xml:space="preserve"> agencies and boards </w:t>
      </w:r>
      <w:r w:rsidR="00D85984" w:rsidRPr="00D85984">
        <w:t>to “freeze” rule making</w:t>
      </w:r>
      <w:r w:rsidR="00D85984">
        <w:t xml:space="preserve">, </w:t>
      </w:r>
      <w:r w:rsidR="00D85984" w:rsidRPr="00D85984">
        <w:rPr>
          <w:rFonts w:asciiTheme="majorHAnsi" w:hAnsiTheme="majorHAnsi" w:cstheme="majorHAnsi"/>
        </w:rPr>
        <w:t>a</w:t>
      </w:r>
      <w:r w:rsidR="00D85984">
        <w:rPr>
          <w:rFonts w:asciiTheme="majorHAnsi" w:eastAsia="Times New Roman" w:hAnsiTheme="majorHAnsi" w:cstheme="majorHAnsi"/>
        </w:rPr>
        <w:t>ffirming</w:t>
      </w:r>
      <w:r w:rsidR="00D85984" w:rsidRPr="00D85984">
        <w:rPr>
          <w:rFonts w:asciiTheme="majorHAnsi" w:eastAsia="Times New Roman" w:hAnsiTheme="majorHAnsi" w:cstheme="majorHAnsi"/>
        </w:rPr>
        <w:t xml:space="preserve"> that Executive Orders 11-72 &amp; 11-211</w:t>
      </w:r>
      <w:r w:rsidR="009B2454">
        <w:rPr>
          <w:rFonts w:asciiTheme="majorHAnsi" w:eastAsia="Times New Roman" w:hAnsiTheme="majorHAnsi" w:cstheme="majorHAnsi"/>
        </w:rPr>
        <w:t>, creating the Governor's Office of Fiscal Accountability and Regulatory Reform ("OFFAR"),</w:t>
      </w:r>
      <w:r w:rsidR="00D85984" w:rsidRPr="00D85984">
        <w:rPr>
          <w:rFonts w:asciiTheme="majorHAnsi" w:eastAsia="Times New Roman" w:hAnsiTheme="majorHAnsi" w:cstheme="majorHAnsi"/>
        </w:rPr>
        <w:t xml:space="preserve">are consistent with law &amp; public policy of this state, and </w:t>
      </w:r>
      <w:r w:rsidR="00D85984">
        <w:rPr>
          <w:rFonts w:asciiTheme="majorHAnsi" w:eastAsia="Times New Roman" w:hAnsiTheme="majorHAnsi" w:cstheme="majorHAnsi"/>
        </w:rPr>
        <w:t>providing</w:t>
      </w:r>
      <w:r w:rsidR="00D85984" w:rsidRPr="00D85984">
        <w:rPr>
          <w:rFonts w:asciiTheme="majorHAnsi" w:eastAsia="Times New Roman" w:hAnsiTheme="majorHAnsi" w:cstheme="majorHAnsi"/>
        </w:rPr>
        <w:t xml:space="preserve"> for removal of duplicative, redundant, or unused rulemaking authority</w:t>
      </w:r>
      <w:r w:rsidR="00D85984">
        <w:rPr>
          <w:rFonts w:asciiTheme="majorHAnsi" w:eastAsia="Times New Roman" w:hAnsiTheme="majorHAnsi" w:cstheme="majorHAnsi"/>
        </w:rPr>
        <w:t>.</w:t>
      </w:r>
      <w:r w:rsidR="00AE0C03">
        <w:rPr>
          <w:rFonts w:asciiTheme="majorHAnsi" w:eastAsia="Times New Roman" w:hAnsiTheme="majorHAnsi" w:cstheme="majorHAnsi"/>
        </w:rPr>
        <w:t xml:space="preserve"> As a direct result, all </w:t>
      </w:r>
      <w:r w:rsidR="00952158">
        <w:rPr>
          <w:rFonts w:asciiTheme="majorHAnsi" w:eastAsia="Times New Roman" w:hAnsiTheme="majorHAnsi" w:cstheme="majorHAnsi"/>
        </w:rPr>
        <w:t xml:space="preserve">new </w:t>
      </w:r>
      <w:r w:rsidR="00AE0C03">
        <w:rPr>
          <w:rFonts w:asciiTheme="majorHAnsi" w:eastAsia="Times New Roman" w:hAnsiTheme="majorHAnsi" w:cstheme="majorHAnsi"/>
        </w:rPr>
        <w:t xml:space="preserve">proposed rules </w:t>
      </w:r>
      <w:r w:rsidR="00952158">
        <w:rPr>
          <w:rFonts w:asciiTheme="majorHAnsi" w:eastAsia="Times New Roman" w:hAnsiTheme="majorHAnsi" w:cstheme="majorHAnsi"/>
        </w:rPr>
        <w:t xml:space="preserve">and amendments to rules </w:t>
      </w:r>
      <w:r w:rsidR="00AE0C03">
        <w:rPr>
          <w:rFonts w:asciiTheme="majorHAnsi" w:eastAsia="Times New Roman" w:hAnsiTheme="majorHAnsi" w:cstheme="majorHAnsi"/>
        </w:rPr>
        <w:t xml:space="preserve">must now be submitted </w:t>
      </w:r>
      <w:r w:rsidR="009B2454">
        <w:rPr>
          <w:rFonts w:asciiTheme="majorHAnsi" w:eastAsia="Times New Roman" w:hAnsiTheme="majorHAnsi" w:cstheme="majorHAnsi"/>
        </w:rPr>
        <w:t xml:space="preserve">to OFFAR </w:t>
      </w:r>
      <w:r w:rsidR="00AE0C03">
        <w:rPr>
          <w:rFonts w:asciiTheme="majorHAnsi" w:eastAsia="Times New Roman" w:hAnsiTheme="majorHAnsi" w:cstheme="majorHAnsi"/>
        </w:rPr>
        <w:t xml:space="preserve">prior to becoming effective. </w:t>
      </w:r>
    </w:p>
    <w:p w:rsidR="00CA1872" w:rsidRDefault="00F21394" w:rsidP="00305FDE">
      <w:pPr>
        <w:pStyle w:val="BlockText"/>
        <w:numPr>
          <w:ilvl w:val="0"/>
          <w:numId w:val="30"/>
        </w:numPr>
      </w:pPr>
      <w:r>
        <w:rPr>
          <w:b/>
        </w:rPr>
        <w:lastRenderedPageBreak/>
        <w:t xml:space="preserve">Department of </w:t>
      </w:r>
      <w:r w:rsidR="0098369B" w:rsidRPr="0098369B">
        <w:rPr>
          <w:b/>
        </w:rPr>
        <w:t>Business and Professional Regulation</w:t>
      </w:r>
      <w:r w:rsidR="00305FDE">
        <w:rPr>
          <w:b/>
        </w:rPr>
        <w:t>.</w:t>
      </w:r>
    </w:p>
    <w:p w:rsidR="00305FDE" w:rsidRDefault="00305FDE" w:rsidP="00305FDE">
      <w:pPr>
        <w:pStyle w:val="BlockText"/>
        <w:ind w:left="720"/>
      </w:pPr>
    </w:p>
    <w:p w:rsidR="00936542" w:rsidRDefault="00F9535D" w:rsidP="00A57777">
      <w:pPr>
        <w:pStyle w:val="BlockText"/>
        <w:numPr>
          <w:ilvl w:val="0"/>
          <w:numId w:val="32"/>
        </w:numPr>
        <w:rPr>
          <w:b/>
        </w:rPr>
      </w:pPr>
      <w:r w:rsidRPr="00936542">
        <w:rPr>
          <w:u w:val="single"/>
        </w:rPr>
        <w:t>Constru</w:t>
      </w:r>
      <w:r w:rsidR="00CA1872" w:rsidRPr="00936542">
        <w:rPr>
          <w:u w:val="single"/>
        </w:rPr>
        <w:t>ction Industry Licensing Board</w:t>
      </w:r>
      <w:r w:rsidR="00CA1872">
        <w:t xml:space="preserve"> – Chapter 489, Part I, </w:t>
      </w:r>
      <w:r w:rsidR="00EB0314">
        <w:t xml:space="preserve">FS </w:t>
      </w:r>
      <w:r w:rsidR="00CA1872">
        <w:t xml:space="preserve">and </w:t>
      </w:r>
      <w:r w:rsidR="00EB0314">
        <w:t xml:space="preserve">Chapter </w:t>
      </w:r>
      <w:r w:rsidR="00CA1872">
        <w:t>61G4 FAC</w:t>
      </w:r>
      <w:r w:rsidR="00F17078">
        <w:t>:</w:t>
      </w:r>
      <w:r w:rsidR="00AF4CC5">
        <w:t xml:space="preserve"> </w:t>
      </w:r>
    </w:p>
    <w:p w:rsidR="002F16B3" w:rsidRPr="002F16B3" w:rsidRDefault="002F16B3" w:rsidP="00A57777">
      <w:pPr>
        <w:pStyle w:val="BlockText"/>
        <w:numPr>
          <w:ilvl w:val="0"/>
          <w:numId w:val="32"/>
        </w:numPr>
        <w:rPr>
          <w:b/>
        </w:rPr>
      </w:pPr>
    </w:p>
    <w:p w:rsidR="00E4082C" w:rsidRDefault="004A265D" w:rsidP="00107362">
      <w:pPr>
        <w:pStyle w:val="BlockText"/>
        <w:numPr>
          <w:ilvl w:val="1"/>
          <w:numId w:val="32"/>
        </w:numPr>
      </w:pPr>
      <w:r>
        <w:t xml:space="preserve">This board has adopted </w:t>
      </w:r>
      <w:r w:rsidR="008B06DE">
        <w:t>the following rules</w:t>
      </w:r>
      <w:r w:rsidR="00927EF0">
        <w:t xml:space="preserve"> (if any):</w:t>
      </w:r>
    </w:p>
    <w:p w:rsidR="009B2454" w:rsidRDefault="009B2454" w:rsidP="009B2454">
      <w:pPr>
        <w:pStyle w:val="BlockText"/>
        <w:ind w:left="1800"/>
      </w:pPr>
    </w:p>
    <w:p w:rsidR="009B2454" w:rsidRDefault="000E6D1A" w:rsidP="009B2454">
      <w:pPr>
        <w:pStyle w:val="BlockText"/>
        <w:numPr>
          <w:ilvl w:val="2"/>
          <w:numId w:val="32"/>
        </w:numPr>
      </w:pPr>
      <w:r>
        <w:t>61G4-12.01</w:t>
      </w:r>
      <w:r w:rsidR="008C5DD9">
        <w:t>1(9</w:t>
      </w:r>
      <w:r w:rsidR="009B2454">
        <w:t>), amending the definition of "Services incidental thereto</w:t>
      </w:r>
      <w:r>
        <w:t>,</w:t>
      </w:r>
      <w:r w:rsidR="009B2454">
        <w:t>"</w:t>
      </w:r>
    </w:p>
    <w:p w:rsidR="009B2454" w:rsidRDefault="008C5DD9" w:rsidP="009B2454">
      <w:pPr>
        <w:pStyle w:val="BlockText"/>
        <w:ind w:left="2520"/>
      </w:pPr>
      <w:r>
        <w:t xml:space="preserve">regarding </w:t>
      </w:r>
      <w:r w:rsidR="009B2454">
        <w:t xml:space="preserve">the licensure exemption under s. 489.103(1), F. S., </w:t>
      </w:r>
      <w:r w:rsidR="000E6D1A">
        <w:t>for</w:t>
      </w:r>
      <w:r w:rsidR="009B2454">
        <w:t xml:space="preserve"> transportation projects.</w:t>
      </w:r>
    </w:p>
    <w:p w:rsidR="009B2454" w:rsidRDefault="009B2454" w:rsidP="009B2454">
      <w:pPr>
        <w:pStyle w:val="BlockText"/>
        <w:ind w:left="2520"/>
      </w:pPr>
    </w:p>
    <w:p w:rsidR="009B2454" w:rsidRDefault="009B2454" w:rsidP="009B2454">
      <w:pPr>
        <w:pStyle w:val="BlockText"/>
        <w:numPr>
          <w:ilvl w:val="2"/>
          <w:numId w:val="32"/>
        </w:numPr>
      </w:pPr>
      <w:r>
        <w:t>61G4-15.035, creating Certified Irrigation Specialty Con</w:t>
      </w:r>
      <w:r w:rsidR="007F6E51">
        <w:t>tractors</w:t>
      </w:r>
      <w:r>
        <w:t xml:space="preserve">, with scope of work to start downstream of the backflow </w:t>
      </w:r>
      <w:r w:rsidR="00A23BA0">
        <w:t>preventer</w:t>
      </w:r>
      <w:r w:rsidR="00FF1E9C">
        <w:t xml:space="preserve"> (i.e., so as not to adversely affect the potable water supply)</w:t>
      </w:r>
      <w:r>
        <w:t>.</w:t>
      </w:r>
    </w:p>
    <w:p w:rsidR="009B2454" w:rsidRDefault="009B2454" w:rsidP="009B2454">
      <w:pPr>
        <w:pStyle w:val="BlockText"/>
        <w:ind w:left="2520"/>
      </w:pPr>
    </w:p>
    <w:p w:rsidR="009B2454" w:rsidRDefault="009B2454" w:rsidP="009B2454">
      <w:pPr>
        <w:pStyle w:val="BlockText"/>
        <w:numPr>
          <w:ilvl w:val="2"/>
          <w:numId w:val="32"/>
        </w:numPr>
      </w:pPr>
      <w:r>
        <w:t>61G4-15.03</w:t>
      </w:r>
      <w:r w:rsidR="00FF1E9C">
        <w:t>8</w:t>
      </w:r>
      <w:r>
        <w:t>, creating Certified Demolition Specialty Co</w:t>
      </w:r>
      <w:r w:rsidR="007F6E51">
        <w:t>ntractors</w:t>
      </w:r>
      <w:r>
        <w:t xml:space="preserve">, based on the statutory change </w:t>
      </w:r>
      <w:r w:rsidR="00E576B4">
        <w:t xml:space="preserve">in the </w:t>
      </w:r>
      <w:r w:rsidR="007F6E51">
        <w:t xml:space="preserve">statutory </w:t>
      </w:r>
      <w:r w:rsidR="00E576B4">
        <w:t xml:space="preserve">definition, effective July 1, 2012, </w:t>
      </w:r>
      <w:r>
        <w:t>which repealed the height limitation previously exempt from licensure for such work.</w:t>
      </w:r>
      <w:r w:rsidR="001043AB">
        <w:rPr>
          <w:rStyle w:val="FootnoteReference"/>
        </w:rPr>
        <w:footnoteReference w:id="1"/>
      </w:r>
    </w:p>
    <w:p w:rsidR="009B2454" w:rsidRDefault="009B2454" w:rsidP="009B2454">
      <w:pPr>
        <w:pStyle w:val="BlockText"/>
        <w:ind w:left="2520"/>
      </w:pPr>
    </w:p>
    <w:p w:rsidR="009B2454" w:rsidRDefault="009B2454" w:rsidP="009B2454">
      <w:pPr>
        <w:pStyle w:val="BlockText"/>
        <w:numPr>
          <w:ilvl w:val="2"/>
          <w:numId w:val="32"/>
        </w:numPr>
      </w:pPr>
      <w:r>
        <w:t>Rule 61G4-18.001</w:t>
      </w:r>
      <w:r w:rsidR="00FF1E9C">
        <w:t>(3)(g)</w:t>
      </w:r>
      <w:r>
        <w:t xml:space="preserve">, </w:t>
      </w:r>
      <w:r w:rsidR="00FF1E9C">
        <w:t>amending continuing educational requirements for wind resistance for one and two family dwellings in accordance with the Florida Building Code, effective October 23, 2012</w:t>
      </w:r>
      <w:r w:rsidR="001043AB">
        <w:t>, was corrected by reference to s. 4891156(4)(b)2</w:t>
      </w:r>
      <w:r w:rsidR="00FF1E9C">
        <w:t>.</w:t>
      </w:r>
    </w:p>
    <w:p w:rsidR="00A9360E" w:rsidRDefault="00A9360E" w:rsidP="001F01B4">
      <w:pPr>
        <w:pStyle w:val="BlockText"/>
      </w:pPr>
    </w:p>
    <w:p w:rsidR="00520F5E" w:rsidRDefault="008714D7" w:rsidP="00107362">
      <w:pPr>
        <w:pStyle w:val="BlockText"/>
        <w:numPr>
          <w:ilvl w:val="1"/>
          <w:numId w:val="32"/>
        </w:numPr>
      </w:pPr>
      <w:r>
        <w:t>This Board proposes to r</w:t>
      </w:r>
      <w:r w:rsidR="00425FE8">
        <w:t xml:space="preserve">epeal </w:t>
      </w:r>
      <w:r>
        <w:t>the following rules (if any):</w:t>
      </w:r>
      <w:r w:rsidR="00103CDF">
        <w:t xml:space="preserve"> None.</w:t>
      </w:r>
    </w:p>
    <w:p w:rsidR="00520F5E" w:rsidRDefault="00520F5E" w:rsidP="00BD1D69">
      <w:pPr>
        <w:pStyle w:val="BlockText"/>
      </w:pPr>
    </w:p>
    <w:p w:rsidR="00C00519" w:rsidRDefault="008B06DE" w:rsidP="004A265D">
      <w:pPr>
        <w:pStyle w:val="BlockText"/>
        <w:numPr>
          <w:ilvl w:val="1"/>
          <w:numId w:val="32"/>
        </w:numPr>
      </w:pPr>
      <w:r>
        <w:t>This</w:t>
      </w:r>
      <w:r w:rsidR="00722B80">
        <w:t xml:space="preserve"> board </w:t>
      </w:r>
      <w:r>
        <w:t>has received</w:t>
      </w:r>
      <w:r w:rsidR="002F015B">
        <w:t xml:space="preserve"> </w:t>
      </w:r>
      <w:r w:rsidR="00555FBF">
        <w:t xml:space="preserve">or disposed of </w:t>
      </w:r>
      <w:r>
        <w:t>the following Petitions for Declaratory Statement</w:t>
      </w:r>
      <w:r w:rsidR="00A3799B">
        <w:t>:</w:t>
      </w:r>
      <w:r w:rsidR="004A265D">
        <w:t xml:space="preserve"> Granted a petition filed by Edward J. Rossman, Clear Air Concepts, filed on November 21, 2012, by stating that s. 489.105 requires a sheet metal contractor's license for the installation of hose drop systems and self contained air cleaning systems to remove carcinogenic diesel exhaust fumes.</w:t>
      </w:r>
    </w:p>
    <w:p w:rsidR="004B196B" w:rsidRDefault="004B196B" w:rsidP="004B196B">
      <w:pPr>
        <w:pStyle w:val="BlockText"/>
      </w:pPr>
    </w:p>
    <w:p w:rsidR="004B196B" w:rsidRDefault="008B06DE" w:rsidP="004B196B">
      <w:pPr>
        <w:pStyle w:val="BlockText"/>
        <w:numPr>
          <w:ilvl w:val="1"/>
          <w:numId w:val="32"/>
        </w:numPr>
      </w:pPr>
      <w:r>
        <w:t xml:space="preserve">This board has received </w:t>
      </w:r>
      <w:r w:rsidR="00555FBF">
        <w:t xml:space="preserve">or disposed of </w:t>
      </w:r>
      <w:r>
        <w:t>the following Petitions for Variance or Waiver</w:t>
      </w:r>
      <w:r w:rsidR="004A265D">
        <w:t>: Denied on October 12, 2012, a variance or waiver filed by Masaaki Yamoato on August 22, 2012, as to Rule 61G4-16.005, F.A.C., limiting the validity period of a passing grade to four (4) years, based on the lack of showing of any substantial hardship.</w:t>
      </w:r>
    </w:p>
    <w:p w:rsidR="00B901A9" w:rsidRDefault="00B901A9" w:rsidP="00B901A9">
      <w:pPr>
        <w:pStyle w:val="BlockText"/>
        <w:ind w:left="1800"/>
      </w:pPr>
    </w:p>
    <w:p w:rsidR="00555FBF" w:rsidRDefault="00555FBF" w:rsidP="00DF0B84">
      <w:pPr>
        <w:jc w:val="both"/>
      </w:pPr>
    </w:p>
    <w:p w:rsidR="00172C04" w:rsidRDefault="00F9535D" w:rsidP="005B212C">
      <w:pPr>
        <w:pStyle w:val="BlockText"/>
        <w:numPr>
          <w:ilvl w:val="0"/>
          <w:numId w:val="32"/>
        </w:numPr>
      </w:pPr>
      <w:r w:rsidRPr="003C50CC">
        <w:rPr>
          <w:u w:val="single"/>
        </w:rPr>
        <w:t>Electric</w:t>
      </w:r>
      <w:r w:rsidR="00CA1872" w:rsidRPr="003C50CC">
        <w:rPr>
          <w:u w:val="single"/>
        </w:rPr>
        <w:t>al Contracting Licensing Board</w:t>
      </w:r>
      <w:r w:rsidR="00305FDE">
        <w:t xml:space="preserve"> (includes both electricians and alarm contractors)</w:t>
      </w:r>
      <w:r w:rsidR="00CA1872">
        <w:t xml:space="preserve"> </w:t>
      </w:r>
      <w:r w:rsidR="00DA5E85">
        <w:t>– Chapter 489, Part II</w:t>
      </w:r>
      <w:r w:rsidR="009A1012">
        <w:t>, FS and 61G6, FAC</w:t>
      </w:r>
      <w:r w:rsidR="00DA5E85">
        <w:t>:</w:t>
      </w:r>
      <w:r w:rsidR="00E311DC">
        <w:t xml:space="preserve"> </w:t>
      </w:r>
      <w:r w:rsidR="00AE4928">
        <w:t xml:space="preserve"> </w:t>
      </w:r>
    </w:p>
    <w:p w:rsidR="008B06DE" w:rsidRDefault="008B06DE" w:rsidP="008B06DE">
      <w:pPr>
        <w:pStyle w:val="BlockText"/>
        <w:ind w:left="1080"/>
        <w:rPr>
          <w:u w:val="single"/>
        </w:rPr>
      </w:pPr>
    </w:p>
    <w:p w:rsidR="004A265D" w:rsidRDefault="008B06DE" w:rsidP="004C6645">
      <w:pPr>
        <w:pStyle w:val="BlockText"/>
        <w:numPr>
          <w:ilvl w:val="1"/>
          <w:numId w:val="32"/>
        </w:numPr>
      </w:pPr>
      <w:r>
        <w:t xml:space="preserve">This board proposed to adopt </w:t>
      </w:r>
      <w:r w:rsidR="00927EF0">
        <w:t xml:space="preserve">or amend </w:t>
      </w:r>
      <w:r>
        <w:t>the following rules</w:t>
      </w:r>
      <w:r w:rsidR="00F60C95">
        <w:t xml:space="preserve"> (if any)</w:t>
      </w:r>
      <w:r w:rsidR="008714D7">
        <w:t>:</w:t>
      </w:r>
      <w:r w:rsidR="004C6645">
        <w:t xml:space="preserve"> </w:t>
      </w:r>
      <w:r w:rsidR="004A265D">
        <w:t>Rule 61G6-9004 to add a requirement that one of the 14 required classroom hours of continuing education shall be in the area of laws and rules related to electrical and al</w:t>
      </w:r>
      <w:r w:rsidR="004C6645">
        <w:t>arm contracting in Florida.</w:t>
      </w:r>
    </w:p>
    <w:p w:rsidR="00520F5E" w:rsidRDefault="00520F5E" w:rsidP="004A0671">
      <w:pPr>
        <w:pStyle w:val="BlockText"/>
      </w:pPr>
    </w:p>
    <w:p w:rsidR="008714D7" w:rsidRDefault="008714D7" w:rsidP="008714D7">
      <w:pPr>
        <w:pStyle w:val="BlockText"/>
        <w:numPr>
          <w:ilvl w:val="1"/>
          <w:numId w:val="32"/>
        </w:numPr>
      </w:pPr>
      <w:r>
        <w:t>This Board proposes to repeal the following rules (if any):</w:t>
      </w:r>
      <w:r w:rsidR="002D1599">
        <w:t xml:space="preserve"> None.</w:t>
      </w:r>
    </w:p>
    <w:p w:rsidR="008714D7" w:rsidRDefault="008714D7" w:rsidP="008714D7">
      <w:pPr>
        <w:pStyle w:val="ListParagraph"/>
      </w:pPr>
    </w:p>
    <w:p w:rsidR="00555FBF" w:rsidRDefault="008B06DE" w:rsidP="001B70AF">
      <w:pPr>
        <w:pStyle w:val="BlockText"/>
        <w:numPr>
          <w:ilvl w:val="1"/>
          <w:numId w:val="32"/>
        </w:numPr>
      </w:pPr>
      <w:r>
        <w:t xml:space="preserve">This board has received </w:t>
      </w:r>
      <w:r w:rsidR="00555FBF">
        <w:t xml:space="preserve">or disposed of </w:t>
      </w:r>
      <w:r>
        <w:t>the following Petitions for Declaratory Statement</w:t>
      </w:r>
      <w:r w:rsidR="00927EF0">
        <w:t xml:space="preserve"> (if any)</w:t>
      </w:r>
      <w:r>
        <w:t>:</w:t>
      </w:r>
      <w:r w:rsidR="00A9360E">
        <w:t xml:space="preserve"> </w:t>
      </w:r>
      <w:r w:rsidR="001B70AF">
        <w:t>Filed on December 27, 2012, by Kirschenbaum &amp; Kirschenbaum, P. C., seeking an opinion regarding the applicability of s. 489.518(1)(b), as to whether telemarketers, employed by an alarm company, would be required to obtain any license or certification as "alarm system agents," and, if so, if they would be required to meet the training requirements of s. 489.518(1)(b).</w:t>
      </w:r>
    </w:p>
    <w:p w:rsidR="00055700" w:rsidRDefault="00055700" w:rsidP="00055700">
      <w:pPr>
        <w:pStyle w:val="ListParagraph"/>
      </w:pPr>
    </w:p>
    <w:p w:rsidR="00B901A9" w:rsidRDefault="008B06DE" w:rsidP="00B901A9">
      <w:pPr>
        <w:pStyle w:val="BlockText"/>
        <w:numPr>
          <w:ilvl w:val="1"/>
          <w:numId w:val="32"/>
        </w:numPr>
      </w:pPr>
      <w:r>
        <w:t xml:space="preserve">This board has received </w:t>
      </w:r>
      <w:r w:rsidR="00555FBF">
        <w:t xml:space="preserve">or disposed of </w:t>
      </w:r>
      <w:r>
        <w:t>the following P</w:t>
      </w:r>
      <w:r w:rsidR="00927EF0">
        <w:t>etitions</w:t>
      </w:r>
      <w:r w:rsidR="002F16B3">
        <w:t xml:space="preserve"> for Variance or Waiver </w:t>
      </w:r>
      <w:r w:rsidR="00944191">
        <w:t>(if any)</w:t>
      </w:r>
      <w:r w:rsidR="00927EF0">
        <w:t>:</w:t>
      </w:r>
      <w:r w:rsidR="00DF0B84">
        <w:t xml:space="preserve"> </w:t>
      </w:r>
      <w:r w:rsidR="002F16B3">
        <w:t xml:space="preserve"> </w:t>
      </w:r>
    </w:p>
    <w:p w:rsidR="0045543B" w:rsidRDefault="0045543B" w:rsidP="0045543B">
      <w:pPr>
        <w:pStyle w:val="ListParagraph"/>
      </w:pPr>
    </w:p>
    <w:p w:rsidR="003C50CC" w:rsidRDefault="00F9535D" w:rsidP="00D532DF">
      <w:pPr>
        <w:pStyle w:val="BlockText"/>
        <w:numPr>
          <w:ilvl w:val="0"/>
          <w:numId w:val="32"/>
        </w:numPr>
      </w:pPr>
      <w:r w:rsidRPr="00CF2384">
        <w:rPr>
          <w:u w:val="single"/>
        </w:rPr>
        <w:t>Board of Ar</w:t>
      </w:r>
      <w:r w:rsidR="00CA1872" w:rsidRPr="00CF2384">
        <w:rPr>
          <w:u w:val="single"/>
        </w:rPr>
        <w:t>chitecture and Interior Design</w:t>
      </w:r>
      <w:r w:rsidR="00CA1872">
        <w:t xml:space="preserve"> – Chapter 481, Part I</w:t>
      </w:r>
      <w:r w:rsidR="00EB0314">
        <w:t>, FS</w:t>
      </w:r>
      <w:r w:rsidR="00CA1872">
        <w:t xml:space="preserve"> and 61G1 FAC</w:t>
      </w:r>
      <w:r w:rsidR="009A1012">
        <w:t>:</w:t>
      </w:r>
      <w:r w:rsidR="009B53D8">
        <w:t xml:space="preserve"> </w:t>
      </w:r>
    </w:p>
    <w:p w:rsidR="003C50CC" w:rsidRDefault="003C50CC" w:rsidP="003C50CC">
      <w:pPr>
        <w:pStyle w:val="BlockText"/>
        <w:ind w:left="1080"/>
      </w:pPr>
    </w:p>
    <w:p w:rsidR="008A4467" w:rsidRDefault="008B06DE" w:rsidP="00A9360E">
      <w:pPr>
        <w:pStyle w:val="BlockText"/>
        <w:numPr>
          <w:ilvl w:val="1"/>
          <w:numId w:val="32"/>
        </w:numPr>
      </w:pPr>
      <w:r>
        <w:t xml:space="preserve">This board proposed to adopt </w:t>
      </w:r>
      <w:r w:rsidR="00927EF0">
        <w:t xml:space="preserve">or amend </w:t>
      </w:r>
      <w:r>
        <w:t>the following rules</w:t>
      </w:r>
      <w:r w:rsidR="00927EF0">
        <w:t xml:space="preserve"> (if any)</w:t>
      </w:r>
      <w:r w:rsidR="00103CDF">
        <w:t xml:space="preserve">: </w:t>
      </w:r>
    </w:p>
    <w:p w:rsidR="002F16B3" w:rsidRDefault="002F16B3" w:rsidP="002F16B3">
      <w:pPr>
        <w:pStyle w:val="BlockText"/>
        <w:ind w:left="1800"/>
      </w:pPr>
    </w:p>
    <w:p w:rsidR="00D35E4B" w:rsidRDefault="002F16B3" w:rsidP="00944191">
      <w:pPr>
        <w:pStyle w:val="BlockText"/>
        <w:numPr>
          <w:ilvl w:val="2"/>
          <w:numId w:val="32"/>
        </w:numPr>
      </w:pPr>
      <w:r>
        <w:t>Rule 61G1-</w:t>
      </w:r>
      <w:r w:rsidR="004C6645">
        <w:t>21.003 to incorporate by reference a handbook for interior designers, effective July, 2012, including the website location thereof, including three (3) forms for us in connection with continuing education requirements.</w:t>
      </w:r>
    </w:p>
    <w:p w:rsidR="004C6645" w:rsidRDefault="004C6645" w:rsidP="004C6645">
      <w:pPr>
        <w:pStyle w:val="BlockText"/>
        <w:ind w:left="2520"/>
      </w:pPr>
    </w:p>
    <w:p w:rsidR="004C6645" w:rsidRDefault="004C6645" w:rsidP="004C6645">
      <w:pPr>
        <w:pStyle w:val="BlockText"/>
        <w:numPr>
          <w:ilvl w:val="2"/>
          <w:numId w:val="32"/>
        </w:numPr>
      </w:pPr>
      <w:r>
        <w:t>Rule 61G1-21.003 to incorporate by reference a handbook for architects, effective July, 2012, including the website location thereof, including three (3) forms for us in connection with continuing education requirements.</w:t>
      </w:r>
    </w:p>
    <w:p w:rsidR="004C6645" w:rsidRDefault="004C6645" w:rsidP="004C6645">
      <w:pPr>
        <w:pStyle w:val="BlockText"/>
        <w:ind w:left="2340"/>
      </w:pPr>
    </w:p>
    <w:p w:rsidR="00376DA1" w:rsidRDefault="00EA1B72" w:rsidP="0096439D">
      <w:pPr>
        <w:pStyle w:val="BlockText"/>
        <w:numPr>
          <w:ilvl w:val="1"/>
          <w:numId w:val="32"/>
        </w:numPr>
      </w:pPr>
      <w:r>
        <w:t xml:space="preserve">This board proposed the repeal of </w:t>
      </w:r>
      <w:r w:rsidR="00376DA1">
        <w:t>the following rules (if any)</w:t>
      </w:r>
      <w:r w:rsidR="00B901A9">
        <w:t>: None.</w:t>
      </w:r>
    </w:p>
    <w:p w:rsidR="00EA1B72" w:rsidRDefault="00A9360E" w:rsidP="00B901A9">
      <w:pPr>
        <w:pStyle w:val="BlockText"/>
        <w:ind w:left="1800"/>
      </w:pPr>
      <w:r>
        <w:t xml:space="preserve"> </w:t>
      </w:r>
    </w:p>
    <w:p w:rsidR="008B06DE" w:rsidRDefault="008B06DE" w:rsidP="008B06DE">
      <w:pPr>
        <w:pStyle w:val="BlockText"/>
        <w:numPr>
          <w:ilvl w:val="1"/>
          <w:numId w:val="32"/>
        </w:numPr>
      </w:pPr>
      <w:r>
        <w:t>This board has received</w:t>
      </w:r>
      <w:r w:rsidR="00555FBF">
        <w:t xml:space="preserve"> or disposed of</w:t>
      </w:r>
      <w:r>
        <w:t xml:space="preserve"> the following Petitions for Declaratory Statement</w:t>
      </w:r>
      <w:r w:rsidR="00927EF0">
        <w:t xml:space="preserve"> (if any)</w:t>
      </w:r>
      <w:r>
        <w:t>:</w:t>
      </w:r>
      <w:r w:rsidR="006577D7">
        <w:t xml:space="preserve"> </w:t>
      </w:r>
      <w:r w:rsidR="001B70AF">
        <w:t>None.</w:t>
      </w:r>
    </w:p>
    <w:p w:rsidR="001B70AF" w:rsidRDefault="001B70AF" w:rsidP="001B70AF">
      <w:pPr>
        <w:pStyle w:val="BlockText"/>
        <w:ind w:left="1800"/>
      </w:pPr>
    </w:p>
    <w:p w:rsidR="00A9360E" w:rsidRDefault="008B06DE" w:rsidP="00A9360E">
      <w:pPr>
        <w:pStyle w:val="BlockText"/>
        <w:numPr>
          <w:ilvl w:val="1"/>
          <w:numId w:val="32"/>
        </w:numPr>
      </w:pPr>
      <w:r>
        <w:t xml:space="preserve">This board has received </w:t>
      </w:r>
      <w:r w:rsidR="00555FBF">
        <w:t xml:space="preserve">or disposed of </w:t>
      </w:r>
      <w:r>
        <w:t>the following Petitions for Variance or Waiver</w:t>
      </w:r>
      <w:r w:rsidR="00927EF0">
        <w:t xml:space="preserve"> (if any)</w:t>
      </w:r>
      <w:r>
        <w:t>:</w:t>
      </w:r>
      <w:r w:rsidR="00EA1B72">
        <w:t xml:space="preserve"> </w:t>
      </w:r>
      <w:r w:rsidR="00B901A9">
        <w:t>None.</w:t>
      </w:r>
    </w:p>
    <w:p w:rsidR="00944191" w:rsidRDefault="00944191" w:rsidP="00944191">
      <w:pPr>
        <w:pStyle w:val="BlockText"/>
        <w:ind w:left="1800"/>
      </w:pPr>
    </w:p>
    <w:p w:rsidR="002E2A6D" w:rsidRDefault="00CA1872" w:rsidP="00172C04">
      <w:pPr>
        <w:pStyle w:val="BlockText"/>
        <w:numPr>
          <w:ilvl w:val="0"/>
          <w:numId w:val="32"/>
        </w:numPr>
      </w:pPr>
      <w:r w:rsidRPr="00EF1953">
        <w:rPr>
          <w:u w:val="single"/>
        </w:rPr>
        <w:t>Board of Landscape Architecture</w:t>
      </w:r>
      <w:r>
        <w:t xml:space="preserve"> – Chapter 481, Part II</w:t>
      </w:r>
      <w:r w:rsidR="00EB0314">
        <w:t>, FS</w:t>
      </w:r>
      <w:r>
        <w:t xml:space="preserve"> and 61G10 FAC</w:t>
      </w:r>
      <w:r w:rsidR="00305FDE">
        <w:t xml:space="preserve">: </w:t>
      </w:r>
    </w:p>
    <w:p w:rsidR="00305FDE" w:rsidRDefault="00305FDE" w:rsidP="00BB3CE8"/>
    <w:p w:rsidR="008B06DE" w:rsidRDefault="008B06DE" w:rsidP="008B06DE">
      <w:pPr>
        <w:ind w:left="2160"/>
      </w:pPr>
      <w:r>
        <w:t>(Nothing to report)</w:t>
      </w:r>
    </w:p>
    <w:p w:rsidR="002B3E98" w:rsidRDefault="002B3E98" w:rsidP="00172C04"/>
    <w:p w:rsidR="002B0DFC" w:rsidRDefault="00F9535D" w:rsidP="00D532DF">
      <w:pPr>
        <w:pStyle w:val="BlockText"/>
        <w:numPr>
          <w:ilvl w:val="0"/>
          <w:numId w:val="32"/>
        </w:numPr>
      </w:pPr>
      <w:r w:rsidRPr="00D42313">
        <w:rPr>
          <w:u w:val="single"/>
        </w:rPr>
        <w:t>Board</w:t>
      </w:r>
      <w:r w:rsidR="00CA1872" w:rsidRPr="00D42313">
        <w:rPr>
          <w:u w:val="single"/>
        </w:rPr>
        <w:t xml:space="preserve"> of Professional Engineers</w:t>
      </w:r>
      <w:r w:rsidR="00CA1872">
        <w:t xml:space="preserve"> – Chapter 471, </w:t>
      </w:r>
      <w:r w:rsidR="00EB0314">
        <w:t xml:space="preserve">FS </w:t>
      </w:r>
      <w:r w:rsidR="00CA1872">
        <w:t>and 61G15 FAC</w:t>
      </w:r>
      <w:r w:rsidR="00305FDE">
        <w:t xml:space="preserve">: </w:t>
      </w:r>
    </w:p>
    <w:p w:rsidR="00E8267C" w:rsidRDefault="00E8267C" w:rsidP="00E8267C">
      <w:pPr>
        <w:pStyle w:val="BlockText"/>
      </w:pPr>
    </w:p>
    <w:p w:rsidR="00B901A9" w:rsidRDefault="00B901A9" w:rsidP="004C6645">
      <w:pPr>
        <w:ind w:left="1440"/>
      </w:pPr>
      <w:r>
        <w:t>a. This board proposed to adopt or amend the following rules (if any):</w:t>
      </w:r>
      <w:r w:rsidR="004C6645">
        <w:t xml:space="preserve"> R</w:t>
      </w:r>
      <w:r>
        <w:t>ule 61G5-</w:t>
      </w:r>
      <w:r w:rsidR="004C6645">
        <w:t>20.007 to modify the education requirements for applications without EAC/ABET accredited engineering degrees.</w:t>
      </w:r>
    </w:p>
    <w:p w:rsidR="004C6645" w:rsidRDefault="004C6645" w:rsidP="00944191">
      <w:pPr>
        <w:ind w:left="2160"/>
      </w:pPr>
    </w:p>
    <w:p w:rsidR="001B70AF" w:rsidRDefault="00B901A9" w:rsidP="001B70AF">
      <w:r>
        <w:tab/>
      </w:r>
      <w:r>
        <w:tab/>
        <w:t>b. This board proposed to repeal the following rules (if any</w:t>
      </w:r>
      <w:r w:rsidR="007C3596">
        <w:t>): None.</w:t>
      </w:r>
    </w:p>
    <w:p w:rsidR="001B70AF" w:rsidRDefault="001B70AF" w:rsidP="001B70AF"/>
    <w:p w:rsidR="001B70AF" w:rsidRDefault="001B70AF" w:rsidP="001B70AF">
      <w:pPr>
        <w:ind w:left="1440"/>
      </w:pPr>
      <w:r>
        <w:t>c. This board has received or disposed of the following Petitions for Declaratory Statement (if any): None.</w:t>
      </w:r>
    </w:p>
    <w:p w:rsidR="001B70AF" w:rsidRDefault="001B70AF" w:rsidP="001B70AF">
      <w:pPr>
        <w:pStyle w:val="BlockText"/>
        <w:ind w:left="1800"/>
      </w:pPr>
    </w:p>
    <w:p w:rsidR="001B70AF" w:rsidRDefault="001B70AF" w:rsidP="001B70AF">
      <w:pPr>
        <w:pStyle w:val="BlockText"/>
        <w:ind w:left="1440"/>
      </w:pPr>
      <w:r>
        <w:t>d. This board has received or disposed of the following Petitions for Variance or Waiver (if any): None.</w:t>
      </w:r>
    </w:p>
    <w:p w:rsidR="001B70AF" w:rsidRDefault="001B70AF" w:rsidP="00B901A9"/>
    <w:p w:rsidR="000324B5" w:rsidRDefault="000324B5" w:rsidP="001B70AF"/>
    <w:p w:rsidR="002363CA" w:rsidRDefault="00F9535D" w:rsidP="008B06DE">
      <w:pPr>
        <w:pStyle w:val="BlockText"/>
        <w:numPr>
          <w:ilvl w:val="0"/>
          <w:numId w:val="32"/>
        </w:numPr>
      </w:pPr>
      <w:r w:rsidRPr="009A1012">
        <w:rPr>
          <w:u w:val="single"/>
        </w:rPr>
        <w:t>Building Code Administrators and Inspectors</w:t>
      </w:r>
      <w:r>
        <w:t xml:space="preserve"> Board</w:t>
      </w:r>
      <w:r w:rsidR="00CA1872">
        <w:t xml:space="preserve"> – Chapter 468, Part XII and 61G19 FAC</w:t>
      </w:r>
      <w:r w:rsidR="002E2A6D">
        <w:t xml:space="preserve">: </w:t>
      </w:r>
    </w:p>
    <w:p w:rsidR="008B06DE" w:rsidRDefault="008B06DE" w:rsidP="008B06DE">
      <w:pPr>
        <w:pStyle w:val="BlockText"/>
        <w:ind w:left="1440"/>
      </w:pPr>
    </w:p>
    <w:p w:rsidR="002D1599" w:rsidRDefault="00F60C95" w:rsidP="002D1599">
      <w:pPr>
        <w:pStyle w:val="BlockText"/>
        <w:numPr>
          <w:ilvl w:val="1"/>
          <w:numId w:val="32"/>
        </w:numPr>
      </w:pPr>
      <w:r>
        <w:t>This board proposed to adopt or amend</w:t>
      </w:r>
      <w:r w:rsidR="008C0D2B">
        <w:t xml:space="preserve"> </w:t>
      </w:r>
      <w:r w:rsidR="008B06DE">
        <w:t>the following rules</w:t>
      </w:r>
      <w:r w:rsidR="00927EF0">
        <w:t xml:space="preserve"> (</w:t>
      </w:r>
      <w:r w:rsidR="00CB18D5">
        <w:t>if</w:t>
      </w:r>
      <w:r w:rsidR="00927EF0">
        <w:t xml:space="preserve"> any)</w:t>
      </w:r>
      <w:r w:rsidR="002D1599">
        <w:t>:</w:t>
      </w:r>
    </w:p>
    <w:p w:rsidR="007C3596" w:rsidRDefault="007C3596" w:rsidP="007C3596">
      <w:pPr>
        <w:pStyle w:val="BlockText"/>
        <w:ind w:left="1800"/>
      </w:pPr>
    </w:p>
    <w:p w:rsidR="00927B1A" w:rsidRDefault="007C3596" w:rsidP="00927B1A">
      <w:pPr>
        <w:pStyle w:val="BlockText"/>
        <w:numPr>
          <w:ilvl w:val="2"/>
          <w:numId w:val="32"/>
        </w:numPr>
      </w:pPr>
      <w:r>
        <w:t>Rule 61G19</w:t>
      </w:r>
      <w:r w:rsidR="00927B1A">
        <w:t>-6.015 regarding reactivation of inactive licenses.</w:t>
      </w:r>
    </w:p>
    <w:p w:rsidR="00927B1A" w:rsidRDefault="00927B1A" w:rsidP="00927B1A">
      <w:pPr>
        <w:pStyle w:val="BlockText"/>
        <w:ind w:left="2520"/>
      </w:pPr>
    </w:p>
    <w:p w:rsidR="00927B1A" w:rsidRDefault="00927B1A" w:rsidP="00927B1A">
      <w:pPr>
        <w:pStyle w:val="BlockText"/>
        <w:numPr>
          <w:ilvl w:val="2"/>
          <w:numId w:val="32"/>
        </w:numPr>
      </w:pPr>
      <w:r>
        <w:t>Rule 61G19-6.0035 regarding applications for provisional licenses.</w:t>
      </w:r>
    </w:p>
    <w:p w:rsidR="00944191" w:rsidRDefault="00944191" w:rsidP="00944191">
      <w:pPr>
        <w:pStyle w:val="BlockText"/>
        <w:ind w:left="2520"/>
      </w:pPr>
    </w:p>
    <w:p w:rsidR="00F56C3E" w:rsidRDefault="00F60C95" w:rsidP="005F17D4">
      <w:pPr>
        <w:pStyle w:val="BlockText"/>
        <w:numPr>
          <w:ilvl w:val="1"/>
          <w:numId w:val="32"/>
        </w:numPr>
      </w:pPr>
      <w:r>
        <w:t>This board proposed to repeal the following rules (if any):</w:t>
      </w:r>
      <w:r w:rsidR="00A9360E">
        <w:t xml:space="preserve"> </w:t>
      </w:r>
      <w:r w:rsidR="002D1599">
        <w:t>None.</w:t>
      </w:r>
    </w:p>
    <w:p w:rsidR="008B06DE" w:rsidRDefault="008B06DE" w:rsidP="00055700">
      <w:pPr>
        <w:pStyle w:val="BlockText"/>
      </w:pPr>
    </w:p>
    <w:p w:rsidR="008B06DE" w:rsidRDefault="008B06DE" w:rsidP="00156092">
      <w:pPr>
        <w:pStyle w:val="BlockText"/>
        <w:numPr>
          <w:ilvl w:val="1"/>
          <w:numId w:val="32"/>
        </w:numPr>
      </w:pPr>
      <w:r>
        <w:t xml:space="preserve">This board has received </w:t>
      </w:r>
      <w:r w:rsidR="00555FBF">
        <w:t xml:space="preserve">or disposed of </w:t>
      </w:r>
      <w:r>
        <w:t>the following Petitions for Declaratory Statement</w:t>
      </w:r>
      <w:r w:rsidR="00927EF0">
        <w:t xml:space="preserve"> (if any</w:t>
      </w:r>
      <w:r w:rsidR="00A9360E">
        <w:t xml:space="preserve">): </w:t>
      </w:r>
      <w:r w:rsidR="002D1599">
        <w:t>None.</w:t>
      </w:r>
    </w:p>
    <w:p w:rsidR="00156092" w:rsidRDefault="00156092" w:rsidP="00156092">
      <w:pPr>
        <w:pStyle w:val="BlockText"/>
      </w:pPr>
    </w:p>
    <w:p w:rsidR="008B06DE" w:rsidRDefault="008B06DE" w:rsidP="008B06DE">
      <w:pPr>
        <w:pStyle w:val="BlockText"/>
        <w:numPr>
          <w:ilvl w:val="1"/>
          <w:numId w:val="32"/>
        </w:numPr>
      </w:pPr>
      <w:r>
        <w:t xml:space="preserve">This board has received </w:t>
      </w:r>
      <w:r w:rsidR="00555FBF">
        <w:t xml:space="preserve">or disposed of </w:t>
      </w:r>
      <w:r>
        <w:t>the following Petitions for Variance or Waiver</w:t>
      </w:r>
      <w:r w:rsidR="00927EF0">
        <w:t xml:space="preserve"> (if any)</w:t>
      </w:r>
      <w:r>
        <w:t>:</w:t>
      </w:r>
      <w:r w:rsidR="00D83830">
        <w:t xml:space="preserve"> </w:t>
      </w:r>
      <w:r w:rsidR="002D1599">
        <w:t>None.</w:t>
      </w:r>
    </w:p>
    <w:p w:rsidR="005C5CFC" w:rsidRPr="003134D3" w:rsidRDefault="005C5CFC" w:rsidP="005C5CFC">
      <w:pPr>
        <w:pStyle w:val="BlockText"/>
      </w:pPr>
    </w:p>
    <w:p w:rsidR="0029168D" w:rsidRDefault="0098369B" w:rsidP="00927B1A">
      <w:pPr>
        <w:pStyle w:val="BlockText"/>
        <w:numPr>
          <w:ilvl w:val="0"/>
          <w:numId w:val="32"/>
        </w:numPr>
      </w:pPr>
      <w:r w:rsidRPr="003C50CC">
        <w:rPr>
          <w:u w:val="single"/>
        </w:rPr>
        <w:t>Florida Building Commission</w:t>
      </w:r>
      <w:r w:rsidR="00944191">
        <w:rPr>
          <w:u w:val="single"/>
        </w:rPr>
        <w:t xml:space="preserve"> </w:t>
      </w:r>
      <w:r w:rsidR="00CA1872">
        <w:t>– C</w:t>
      </w:r>
      <w:r w:rsidR="00383EFB">
        <w:t>hapter 553, Part IV</w:t>
      </w:r>
      <w:r w:rsidR="000324B5">
        <w:t xml:space="preserve"> and </w:t>
      </w:r>
      <w:r w:rsidR="00922A6D">
        <w:t>Chapter 61G20</w:t>
      </w:r>
      <w:r w:rsidR="000324B5">
        <w:t>, FAC</w:t>
      </w:r>
      <w:r w:rsidR="00922A6D">
        <w:t>)</w:t>
      </w:r>
      <w:r w:rsidR="002E2A6D">
        <w:t>:</w:t>
      </w:r>
      <w:r w:rsidR="009A1012">
        <w:t xml:space="preserve"> </w:t>
      </w:r>
      <w:r w:rsidR="0029168D">
        <w:t>The Commission has undertaken a statutory “glitch” cycle</w:t>
      </w:r>
      <w:r w:rsidR="000B0E17">
        <w:t>, beginning with staff recommendations for code changes presented during a rules development worksh</w:t>
      </w:r>
      <w:r w:rsidR="00A9360E">
        <w:t xml:space="preserve">op on June 12, 2012, and with the first </w:t>
      </w:r>
      <w:r w:rsidR="000B0E17">
        <w:t xml:space="preserve">public hearing </w:t>
      </w:r>
      <w:r w:rsidR="00A9360E">
        <w:t>held at the August meeting, based on submittal deadline of August 1st. OVER 900 code changes have been filed for consideration</w:t>
      </w:r>
      <w:r w:rsidR="00E8267C">
        <w:t>, many of which will be taken up by th</w:t>
      </w:r>
      <w:r w:rsidR="00944191">
        <w:t xml:space="preserve">e </w:t>
      </w:r>
      <w:r w:rsidR="007C3596">
        <w:t xml:space="preserve">full </w:t>
      </w:r>
      <w:r w:rsidR="00944191">
        <w:t>commission on January 14-16, 2013, in Gainesville</w:t>
      </w:r>
      <w:r w:rsidR="007C3596">
        <w:t>.</w:t>
      </w:r>
    </w:p>
    <w:p w:rsidR="00927B1A" w:rsidRDefault="00927B1A" w:rsidP="00927B1A">
      <w:pPr>
        <w:pStyle w:val="BlockText"/>
        <w:ind w:left="1080"/>
      </w:pPr>
    </w:p>
    <w:p w:rsidR="00927B1A" w:rsidRDefault="00927B1A" w:rsidP="00927B1A">
      <w:pPr>
        <w:pStyle w:val="BlockText"/>
        <w:numPr>
          <w:ilvl w:val="1"/>
          <w:numId w:val="32"/>
        </w:numPr>
      </w:pPr>
      <w:r>
        <w:t>This board proposed to adopt or amend the following rules (if any): New rule 61G20-1.002 regarding the alternative design method for screen enclosures, based on task force recommendations as directed by recent statutory changes.</w:t>
      </w:r>
    </w:p>
    <w:p w:rsidR="00927B1A" w:rsidRDefault="00927B1A" w:rsidP="00927B1A">
      <w:pPr>
        <w:pStyle w:val="BlockText"/>
        <w:ind w:left="2520"/>
      </w:pPr>
    </w:p>
    <w:p w:rsidR="00927B1A" w:rsidRDefault="00927B1A" w:rsidP="00927B1A">
      <w:pPr>
        <w:pStyle w:val="BlockText"/>
        <w:numPr>
          <w:ilvl w:val="1"/>
          <w:numId w:val="32"/>
        </w:numPr>
      </w:pPr>
      <w:r>
        <w:t>This board proposed to repeal the following rules (if any): None.</w:t>
      </w:r>
    </w:p>
    <w:p w:rsidR="00927B1A" w:rsidRDefault="00927B1A" w:rsidP="00927B1A">
      <w:pPr>
        <w:pStyle w:val="BlockText"/>
      </w:pPr>
    </w:p>
    <w:p w:rsidR="00927B1A" w:rsidRDefault="00927B1A" w:rsidP="00927B1A">
      <w:pPr>
        <w:pStyle w:val="BlockText"/>
        <w:numPr>
          <w:ilvl w:val="1"/>
          <w:numId w:val="32"/>
        </w:numPr>
      </w:pPr>
      <w:r>
        <w:t>This board has received or disposed of the following Petitions for Declaratory Statement (if any): None.</w:t>
      </w:r>
    </w:p>
    <w:p w:rsidR="00927B1A" w:rsidRDefault="00927B1A" w:rsidP="00927B1A">
      <w:pPr>
        <w:pStyle w:val="BlockText"/>
      </w:pPr>
    </w:p>
    <w:p w:rsidR="008B06DE" w:rsidRDefault="00927B1A" w:rsidP="00927B1A">
      <w:pPr>
        <w:pStyle w:val="BlockText"/>
        <w:numPr>
          <w:ilvl w:val="1"/>
          <w:numId w:val="32"/>
        </w:numPr>
      </w:pPr>
      <w:r>
        <w:t>This board has received or disposed of the following Petitions for Variance or Waiver (if any): None.</w:t>
      </w:r>
    </w:p>
    <w:p w:rsidR="003C50CC" w:rsidRDefault="003C50CC" w:rsidP="003C50CC">
      <w:pPr>
        <w:pStyle w:val="BlockText"/>
        <w:ind w:left="1080"/>
      </w:pPr>
    </w:p>
    <w:p w:rsidR="002C5E1D" w:rsidRPr="00383EFB" w:rsidRDefault="002C5E1D" w:rsidP="002C5E1D">
      <w:pPr>
        <w:pStyle w:val="BlockText"/>
        <w:numPr>
          <w:ilvl w:val="0"/>
          <w:numId w:val="30"/>
        </w:numPr>
        <w:rPr>
          <w:b/>
        </w:rPr>
      </w:pPr>
      <w:r w:rsidRPr="00383EFB">
        <w:rPr>
          <w:b/>
        </w:rPr>
        <w:t>Environmental Protection</w:t>
      </w:r>
      <w:r>
        <w:rPr>
          <w:b/>
        </w:rPr>
        <w:t>: To be determined.</w:t>
      </w:r>
    </w:p>
    <w:p w:rsidR="002E2A6D" w:rsidRPr="002E2A6D" w:rsidRDefault="002E2A6D" w:rsidP="002E2A6D">
      <w:pPr>
        <w:pStyle w:val="BlockText"/>
        <w:ind w:left="720"/>
      </w:pPr>
    </w:p>
    <w:p w:rsidR="00A9360E" w:rsidRDefault="0098369B" w:rsidP="00A9360E">
      <w:pPr>
        <w:pStyle w:val="BlockText"/>
        <w:numPr>
          <w:ilvl w:val="0"/>
          <w:numId w:val="30"/>
        </w:numPr>
        <w:rPr>
          <w:b/>
        </w:rPr>
      </w:pPr>
      <w:r w:rsidRPr="006577D7">
        <w:rPr>
          <w:b/>
        </w:rPr>
        <w:t>Health</w:t>
      </w:r>
      <w:r w:rsidR="00CA1872">
        <w:t xml:space="preserve">: </w:t>
      </w:r>
      <w:r w:rsidR="00CA1872" w:rsidRPr="00922A6D">
        <w:rPr>
          <w:b/>
        </w:rPr>
        <w:t>Water Qualit</w:t>
      </w:r>
      <w:r w:rsidR="00383EFB" w:rsidRPr="00922A6D">
        <w:rPr>
          <w:b/>
        </w:rPr>
        <w:t>y/Septic Tanks</w:t>
      </w:r>
      <w:r w:rsidR="00D9771C" w:rsidRPr="00922A6D">
        <w:rPr>
          <w:b/>
        </w:rPr>
        <w:t xml:space="preserve"> – Chapter 381</w:t>
      </w:r>
      <w:r w:rsidR="00383EFB" w:rsidRPr="00922A6D">
        <w:rPr>
          <w:b/>
        </w:rPr>
        <w:t xml:space="preserve"> and 64E</w:t>
      </w:r>
      <w:r w:rsidR="002E2A6D" w:rsidRPr="00922A6D">
        <w:rPr>
          <w:b/>
        </w:rPr>
        <w:t xml:space="preserve"> FAC:</w:t>
      </w:r>
      <w:r w:rsidR="00221AAE" w:rsidRPr="00922A6D">
        <w:rPr>
          <w:b/>
        </w:rPr>
        <w:t xml:space="preserve"> </w:t>
      </w:r>
      <w:r w:rsidR="00B04E9C">
        <w:rPr>
          <w:b/>
        </w:rPr>
        <w:t xml:space="preserve">Chapter 2012-184, Laws of Florida, </w:t>
      </w:r>
      <w:r w:rsidR="006577D7" w:rsidRPr="000B0E17">
        <w:rPr>
          <w:b/>
          <w:u w:val="single"/>
        </w:rPr>
        <w:t xml:space="preserve">effective </w:t>
      </w:r>
      <w:r w:rsidR="00B04E9C" w:rsidRPr="000B0E17">
        <w:rPr>
          <w:b/>
          <w:u w:val="single"/>
        </w:rPr>
        <w:t>April 27, 2012</w:t>
      </w:r>
      <w:r w:rsidR="00B04E9C">
        <w:rPr>
          <w:b/>
        </w:rPr>
        <w:t>, mad</w:t>
      </w:r>
      <w:r w:rsidR="006577D7" w:rsidRPr="00922A6D">
        <w:rPr>
          <w:b/>
        </w:rPr>
        <w:t>e</w:t>
      </w:r>
      <w:r w:rsidR="00B04E9C">
        <w:rPr>
          <w:b/>
        </w:rPr>
        <w:t xml:space="preserve"> the following changes</w:t>
      </w:r>
      <w:r w:rsidR="00A9360E">
        <w:rPr>
          <w:b/>
        </w:rPr>
        <w:t xml:space="preserve">: </w:t>
      </w:r>
    </w:p>
    <w:p w:rsidR="00A9360E" w:rsidRDefault="00A9360E" w:rsidP="00A9360E">
      <w:pPr>
        <w:pStyle w:val="ListParagraph"/>
      </w:pPr>
    </w:p>
    <w:p w:rsidR="00913DE9" w:rsidRDefault="00A9360E" w:rsidP="00913DE9">
      <w:pPr>
        <w:pStyle w:val="BlockText"/>
        <w:ind w:left="720"/>
      </w:pPr>
      <w:r>
        <w:t xml:space="preserve">1. </w:t>
      </w:r>
      <w:r w:rsidR="006577D7">
        <w:t xml:space="preserve">The </w:t>
      </w:r>
      <w:r w:rsidR="00CF37B7">
        <w:t>Department</w:t>
      </w:r>
      <w:r w:rsidR="006577D7">
        <w:t xml:space="preserve"> of Health’s authority for plan review and approval of swi</w:t>
      </w:r>
      <w:r w:rsidR="00156092">
        <w:t>mming pools and bathing pools was</w:t>
      </w:r>
      <w:r w:rsidR="006577D7">
        <w:t xml:space="preserve"> repealed and given to local government in accordance with the Florida Building Code.</w:t>
      </w:r>
    </w:p>
    <w:p w:rsidR="00913DE9" w:rsidRDefault="00913DE9" w:rsidP="00913DE9">
      <w:pPr>
        <w:pStyle w:val="BlockText"/>
        <w:ind w:left="720"/>
        <w:rPr>
          <w:b/>
        </w:rPr>
      </w:pPr>
    </w:p>
    <w:p w:rsidR="006577D7" w:rsidRDefault="00913DE9" w:rsidP="00913DE9">
      <w:pPr>
        <w:pStyle w:val="BlockText"/>
        <w:ind w:left="720"/>
      </w:pPr>
      <w:r w:rsidRPr="00913DE9">
        <w:t>2.</w:t>
      </w:r>
      <w:r>
        <w:rPr>
          <w:b/>
        </w:rPr>
        <w:t xml:space="preserve"> </w:t>
      </w:r>
      <w:r w:rsidR="006577D7">
        <w:t xml:space="preserve">The 2011 enactment of section 381.0065(5), </w:t>
      </w:r>
      <w:r w:rsidR="00CF37B7">
        <w:t>requiring</w:t>
      </w:r>
      <w:r w:rsidR="006577D7">
        <w:t xml:space="preserve"> periodic inspections of on-site sewerage disposal systems (“septic tanks”) is repealed, and authority to impose such requirements is authorized by local governments whose boundaries include a “first magnitude spring,” as defined in the bill.</w:t>
      </w:r>
      <w:r w:rsidR="00944191">
        <w:t xml:space="preserve"> (See </w:t>
      </w:r>
      <w:r w:rsidR="00B04E9C">
        <w:t>Section 32).</w:t>
      </w:r>
    </w:p>
    <w:p w:rsidR="003D46FD" w:rsidRDefault="003D46FD" w:rsidP="00913DE9">
      <w:pPr>
        <w:pStyle w:val="BlockText"/>
        <w:ind w:left="720"/>
      </w:pPr>
    </w:p>
    <w:p w:rsidR="003D46FD" w:rsidRPr="00F116D6" w:rsidRDefault="003D46FD" w:rsidP="00F116D6">
      <w:pPr>
        <w:pStyle w:val="BlockText"/>
        <w:rPr>
          <w:b/>
          <w:i/>
          <w:u w:val="single"/>
        </w:rPr>
      </w:pPr>
      <w:r w:rsidRPr="00F116D6">
        <w:rPr>
          <w:b/>
          <w:i/>
          <w:u w:val="single"/>
        </w:rPr>
        <w:t xml:space="preserve">NOTE: </w:t>
      </w:r>
      <w:r w:rsidR="00F116D6" w:rsidRPr="00F116D6">
        <w:rPr>
          <w:b/>
          <w:i/>
          <w:u w:val="single"/>
        </w:rPr>
        <w:t>According to recent news report, as of December 20, 2012, ALL of the 19 affected counties have affirmatively voted to opt out of the periodic inspection of on-site systems.</w:t>
      </w:r>
    </w:p>
    <w:p w:rsidR="0060730E" w:rsidRPr="00F116D6" w:rsidRDefault="0060730E" w:rsidP="0060730E">
      <w:pPr>
        <w:pStyle w:val="ListParagraph"/>
        <w:rPr>
          <w:b/>
          <w:i/>
          <w:u w:val="single"/>
        </w:rPr>
      </w:pPr>
    </w:p>
    <w:p w:rsidR="0029168D" w:rsidRDefault="00251EB1" w:rsidP="00A9360E">
      <w:pPr>
        <w:pStyle w:val="BlockText"/>
        <w:numPr>
          <w:ilvl w:val="0"/>
          <w:numId w:val="30"/>
        </w:numPr>
      </w:pPr>
      <w:r w:rsidRPr="00251EB1">
        <w:rPr>
          <w:b/>
        </w:rPr>
        <w:t>Financial Services</w:t>
      </w:r>
      <w:r w:rsidR="00CA1872">
        <w:t>: Workers’ Compensation Insu</w:t>
      </w:r>
      <w:r w:rsidR="002E2A6D">
        <w:t>rance – Chapter 440 and 69L FAC:</w:t>
      </w:r>
      <w:r w:rsidR="00026C6B">
        <w:t xml:space="preserve"> </w:t>
      </w:r>
    </w:p>
    <w:p w:rsidR="0029168D" w:rsidRDefault="0029168D" w:rsidP="0029168D">
      <w:pPr>
        <w:pStyle w:val="BlockText"/>
        <w:ind w:left="720"/>
      </w:pPr>
      <w:r>
        <w:t>]</w:t>
      </w:r>
    </w:p>
    <w:p w:rsidR="00026C6B" w:rsidRDefault="00944191" w:rsidP="0029168D">
      <w:pPr>
        <w:pStyle w:val="BlockText"/>
        <w:ind w:left="360"/>
      </w:pPr>
      <w:r>
        <w:rPr>
          <w:b/>
          <w:u w:val="single"/>
        </w:rPr>
        <w:t xml:space="preserve">RECENT </w:t>
      </w:r>
      <w:r w:rsidR="00EC539A" w:rsidRPr="0029168D">
        <w:rPr>
          <w:b/>
          <w:u w:val="single"/>
        </w:rPr>
        <w:t>NOTICE:</w:t>
      </w:r>
      <w:r w:rsidR="00913DE9">
        <w:t xml:space="preserve"> As of</w:t>
      </w:r>
      <w:r w:rsidR="00EC539A">
        <w:t xml:space="preserve"> </w:t>
      </w:r>
      <w:r w:rsidR="00EC539A" w:rsidRPr="000B0E17">
        <w:rPr>
          <w:u w:val="single"/>
        </w:rPr>
        <w:t>July 1, 2012</w:t>
      </w:r>
      <w:r w:rsidR="00EC539A">
        <w:t xml:space="preserve">, applications for exemption from workers’ compensation insurance can be made on-line at </w:t>
      </w:r>
      <w:r w:rsidR="00EC539A" w:rsidRPr="0029168D">
        <w:rPr>
          <w:u w:val="single"/>
        </w:rPr>
        <w:t>myfloridacfo.com/wc</w:t>
      </w:r>
      <w:r w:rsidR="00EC539A">
        <w:t xml:space="preserve">. </w:t>
      </w:r>
      <w:r w:rsidR="0029168D">
        <w:t>Such applications will no longer have to be notarized; while applicants will be required to provide Florida driver’s license number or Florida identification card and date of birth, copies of ownership documents will no longer be required. However, for construction business, the law regarding exemptions continues to allow up to three (3) individuals to be exempt at the same time, provided that each one owns at least 10% of the business.</w:t>
      </w:r>
    </w:p>
    <w:p w:rsidR="003C265E" w:rsidRDefault="003C265E" w:rsidP="0029168D">
      <w:pPr>
        <w:pStyle w:val="BlockText"/>
        <w:ind w:left="360"/>
      </w:pPr>
    </w:p>
    <w:p w:rsidR="003C265E" w:rsidRPr="003C265E" w:rsidRDefault="003C265E" w:rsidP="003C265E">
      <w:pPr>
        <w:pStyle w:val="BlockText"/>
        <w:ind w:left="360"/>
        <w:rPr>
          <w:b/>
          <w:i/>
          <w:u w:val="single"/>
        </w:rPr>
      </w:pPr>
      <w:r w:rsidRPr="003C265E">
        <w:rPr>
          <w:b/>
          <w:i/>
          <w:u w:val="single"/>
        </w:rPr>
        <w:t xml:space="preserve">IMPORTANT UNDATE: Out-of-state applicants who do NOT have Florida driver’s license or identification </w:t>
      </w:r>
      <w:r w:rsidR="00EC539A" w:rsidRPr="003C265E">
        <w:rPr>
          <w:b/>
          <w:i/>
          <w:u w:val="single"/>
        </w:rPr>
        <w:t>card</w:t>
      </w:r>
      <w:r w:rsidRPr="003C265E">
        <w:rPr>
          <w:b/>
          <w:i/>
          <w:u w:val="single"/>
        </w:rPr>
        <w:t xml:space="preserve"> should submit their applications in hard copy for processing. This is a “glitch” in the new law, but the department is allowing this “fix” until the legislature has an opportunity to again change the statute.</w:t>
      </w:r>
    </w:p>
    <w:p w:rsidR="00227443" w:rsidRDefault="00227443" w:rsidP="00227443">
      <w:pPr>
        <w:pStyle w:val="BlockText"/>
        <w:ind w:left="720"/>
        <w:rPr>
          <w:b/>
        </w:rPr>
      </w:pPr>
    </w:p>
    <w:p w:rsidR="00DE0FB7" w:rsidRDefault="00252DC4" w:rsidP="00016A29">
      <w:pPr>
        <w:pStyle w:val="BlockText"/>
        <w:ind w:left="360"/>
      </w:pPr>
      <w:r w:rsidRPr="00252DC4">
        <w:rPr>
          <w:b/>
          <w:u w:val="single"/>
        </w:rPr>
        <w:t>Warning:</w:t>
      </w:r>
      <w:r>
        <w:t xml:space="preserve"> Insurance carriers and their representative j</w:t>
      </w:r>
      <w:r w:rsidR="00EF1953">
        <w:t>oint underwriter association appear to be now</w:t>
      </w:r>
      <w:r>
        <w:t xml:space="preserve"> checking for policies or exemptions issued to recently qualified businesses, and filing complaints with DBPR for those who do no</w:t>
      </w:r>
      <w:r w:rsidR="00EF1953">
        <w:t>t have either</w:t>
      </w:r>
      <w:r>
        <w:t xml:space="preserve">. While the current </w:t>
      </w:r>
      <w:r w:rsidR="00EF1953">
        <w:t xml:space="preserve">licensure </w:t>
      </w:r>
      <w:r>
        <w:t xml:space="preserve">application forms purport to require such insurance coverage within thirty (30) days of licensure, there does not appear to be any statutory requirement for WC coverage until a business has a </w:t>
      </w:r>
      <w:r w:rsidR="006E5C27">
        <w:t>payroll</w:t>
      </w:r>
      <w:r>
        <w:t>.</w:t>
      </w:r>
    </w:p>
    <w:p w:rsidR="00222C12" w:rsidRDefault="00222C12" w:rsidP="00016A29">
      <w:pPr>
        <w:pStyle w:val="BlockText"/>
        <w:ind w:left="360"/>
      </w:pPr>
    </w:p>
    <w:p w:rsidR="00B04E9C" w:rsidRDefault="00222C12" w:rsidP="005F17D4">
      <w:pPr>
        <w:pStyle w:val="BlockText"/>
        <w:ind w:left="360"/>
      </w:pPr>
      <w:r>
        <w:rPr>
          <w:b/>
          <w:u w:val="single"/>
        </w:rPr>
        <w:t xml:space="preserve">Important </w:t>
      </w:r>
      <w:r w:rsidRPr="00222C12">
        <w:rPr>
          <w:b/>
          <w:u w:val="single"/>
        </w:rPr>
        <w:t>Note:</w:t>
      </w:r>
      <w:r>
        <w:t xml:space="preserve"> You can check compliance with worker’s compensation insurance requirements (coverage or exemptions) by name of company, federal employer ID number, employer policy number, and exemption holder name or exemption holder SS number at </w:t>
      </w:r>
      <w:r w:rsidRPr="00222C12">
        <w:rPr>
          <w:i/>
          <w:u w:val="single"/>
        </w:rPr>
        <w:t>https//:secure.fldfs.com/WCAPPA/Compliance</w:t>
      </w:r>
      <w:r>
        <w:t>.</w:t>
      </w:r>
    </w:p>
    <w:p w:rsidR="00BD085E" w:rsidRDefault="00BD085E" w:rsidP="005F17D4">
      <w:pPr>
        <w:pStyle w:val="BlockText"/>
        <w:ind w:left="360"/>
      </w:pPr>
    </w:p>
    <w:p w:rsidR="00BD085E" w:rsidRDefault="00BD085E" w:rsidP="005F17D4">
      <w:pPr>
        <w:pStyle w:val="BlockText"/>
        <w:ind w:left="360"/>
      </w:pPr>
    </w:p>
    <w:p w:rsidR="002B78B0" w:rsidRDefault="002B78B0" w:rsidP="002B78B0">
      <w:pPr>
        <w:pStyle w:val="BlockText"/>
        <w:rPr>
          <w:b/>
          <w:u w:val="single"/>
        </w:rPr>
      </w:pPr>
    </w:p>
    <w:p w:rsidR="00156092" w:rsidRDefault="00CF37B7" w:rsidP="002B78B0">
      <w:pPr>
        <w:pStyle w:val="BlockText"/>
      </w:pPr>
      <w:r w:rsidRPr="00CD02EB">
        <w:rPr>
          <w:b/>
          <w:u w:val="single"/>
        </w:rPr>
        <w:t>Legislative Action:</w:t>
      </w:r>
      <w:r w:rsidR="00156092">
        <w:t xml:space="preserve"> </w:t>
      </w:r>
      <w:r w:rsidR="00944191">
        <w:t>The following construction-related bills have been filed to date for consideration during the 2013 regular legislative session, which begins on March 5, 2013 for a 60-day period:</w:t>
      </w:r>
    </w:p>
    <w:p w:rsidR="00944191" w:rsidRDefault="00944191" w:rsidP="002B78B0">
      <w:pPr>
        <w:pStyle w:val="BlockText"/>
      </w:pPr>
    </w:p>
    <w:tbl>
      <w:tblPr>
        <w:tblW w:w="4900" w:type="pct"/>
        <w:jc w:val="center"/>
        <w:tblCellSpacing w:w="0" w:type="dxa"/>
        <w:tblCellMar>
          <w:top w:w="10" w:type="dxa"/>
          <w:left w:w="10" w:type="dxa"/>
          <w:bottom w:w="10" w:type="dxa"/>
          <w:right w:w="10" w:type="dxa"/>
        </w:tblCellMar>
        <w:tblLook w:val="04A0"/>
      </w:tblPr>
      <w:tblGrid>
        <w:gridCol w:w="864"/>
        <w:gridCol w:w="4866"/>
        <w:gridCol w:w="1866"/>
        <w:gridCol w:w="897"/>
        <w:gridCol w:w="369"/>
        <w:gridCol w:w="102"/>
        <w:gridCol w:w="280"/>
        <w:gridCol w:w="250"/>
      </w:tblGrid>
      <w:tr w:rsidR="003D46FD" w:rsidTr="003D46FD">
        <w:trPr>
          <w:tblCellSpacing w:w="0" w:type="dxa"/>
          <w:jc w:val="center"/>
        </w:trPr>
        <w:tc>
          <w:tcPr>
            <w:tcW w:w="456" w:type="pct"/>
            <w:shd w:val="clear" w:color="auto" w:fill="EEEEEE"/>
            <w:tcMar>
              <w:top w:w="20" w:type="dxa"/>
              <w:left w:w="20" w:type="dxa"/>
              <w:bottom w:w="20" w:type="dxa"/>
              <w:right w:w="20" w:type="dxa"/>
            </w:tcMar>
            <w:vAlign w:val="center"/>
            <w:hideMark/>
          </w:tcPr>
          <w:p w:rsidR="003D46FD" w:rsidRPr="003D46FD" w:rsidRDefault="003D46FD">
            <w:pPr>
              <w:rPr>
                <w:rFonts w:ascii="Arial" w:hAnsi="Arial" w:cs="Arial"/>
                <w:b/>
                <w:bCs/>
                <w:color w:val="000000"/>
                <w:sz w:val="22"/>
                <w:szCs w:val="22"/>
              </w:rPr>
            </w:pPr>
            <w:r w:rsidRPr="003D46FD">
              <w:rPr>
                <w:rFonts w:ascii="Arial" w:hAnsi="Arial" w:cs="Arial"/>
                <w:b/>
                <w:bCs/>
                <w:color w:val="000000"/>
                <w:sz w:val="22"/>
                <w:szCs w:val="22"/>
              </w:rPr>
              <w:t>Num</w:t>
            </w:r>
          </w:p>
        </w:tc>
        <w:tc>
          <w:tcPr>
            <w:tcW w:w="2562" w:type="pct"/>
            <w:shd w:val="clear" w:color="auto" w:fill="EEEEEE"/>
            <w:tcMar>
              <w:top w:w="20" w:type="dxa"/>
              <w:left w:w="20" w:type="dxa"/>
              <w:bottom w:w="20" w:type="dxa"/>
              <w:right w:w="20" w:type="dxa"/>
            </w:tcMar>
            <w:vAlign w:val="center"/>
            <w:hideMark/>
          </w:tcPr>
          <w:p w:rsidR="003D46FD" w:rsidRPr="003D46FD" w:rsidRDefault="003D46FD">
            <w:pPr>
              <w:rPr>
                <w:rFonts w:ascii="Arial" w:hAnsi="Arial" w:cs="Arial"/>
                <w:b/>
                <w:bCs/>
                <w:color w:val="000000"/>
                <w:sz w:val="22"/>
                <w:szCs w:val="22"/>
              </w:rPr>
            </w:pPr>
            <w:r w:rsidRPr="003D46FD">
              <w:rPr>
                <w:rFonts w:ascii="Arial" w:hAnsi="Arial" w:cs="Arial"/>
                <w:b/>
                <w:bCs/>
                <w:color w:val="000000"/>
                <w:sz w:val="22"/>
                <w:szCs w:val="22"/>
              </w:rPr>
              <w:t>Title</w:t>
            </w:r>
          </w:p>
        </w:tc>
        <w:tc>
          <w:tcPr>
            <w:tcW w:w="983" w:type="pct"/>
            <w:shd w:val="clear" w:color="auto" w:fill="EEEEEE"/>
            <w:tcMar>
              <w:top w:w="20" w:type="dxa"/>
              <w:left w:w="20" w:type="dxa"/>
              <w:bottom w:w="20" w:type="dxa"/>
              <w:right w:w="20" w:type="dxa"/>
            </w:tcMar>
            <w:vAlign w:val="center"/>
            <w:hideMark/>
          </w:tcPr>
          <w:p w:rsidR="003D46FD" w:rsidRPr="003D46FD" w:rsidRDefault="003D46FD">
            <w:pPr>
              <w:rPr>
                <w:rFonts w:ascii="Arial" w:hAnsi="Arial" w:cs="Arial"/>
                <w:b/>
                <w:bCs/>
                <w:color w:val="000000"/>
                <w:sz w:val="22"/>
                <w:szCs w:val="22"/>
              </w:rPr>
            </w:pPr>
            <w:r w:rsidRPr="003D46FD">
              <w:rPr>
                <w:rFonts w:ascii="Arial" w:hAnsi="Arial" w:cs="Arial"/>
                <w:b/>
                <w:bCs/>
                <w:color w:val="000000"/>
                <w:sz w:val="22"/>
                <w:szCs w:val="22"/>
              </w:rPr>
              <w:t>Sponsor</w:t>
            </w:r>
          </w:p>
        </w:tc>
        <w:tc>
          <w:tcPr>
            <w:tcW w:w="472" w:type="pct"/>
            <w:shd w:val="clear" w:color="auto" w:fill="EEEEEE"/>
            <w:tcMar>
              <w:top w:w="20" w:type="dxa"/>
              <w:left w:w="20" w:type="dxa"/>
              <w:bottom w:w="20" w:type="dxa"/>
              <w:right w:w="20" w:type="dxa"/>
            </w:tcMar>
            <w:vAlign w:val="center"/>
            <w:hideMark/>
          </w:tcPr>
          <w:p w:rsidR="003D46FD" w:rsidRPr="003D46FD" w:rsidRDefault="003D46FD">
            <w:pPr>
              <w:rPr>
                <w:rFonts w:ascii="Arial" w:hAnsi="Arial" w:cs="Arial"/>
                <w:b/>
                <w:bCs/>
                <w:color w:val="000000"/>
                <w:sz w:val="22"/>
                <w:szCs w:val="22"/>
              </w:rPr>
            </w:pPr>
            <w:r w:rsidRPr="003D46FD">
              <w:rPr>
                <w:rFonts w:ascii="Arial" w:hAnsi="Arial" w:cs="Arial"/>
                <w:b/>
                <w:bCs/>
                <w:color w:val="000000"/>
                <w:sz w:val="22"/>
                <w:szCs w:val="22"/>
              </w:rPr>
              <w:t> </w:t>
            </w:r>
          </w:p>
        </w:tc>
        <w:tc>
          <w:tcPr>
            <w:tcW w:w="195" w:type="pct"/>
            <w:shd w:val="clear" w:color="auto" w:fill="EEEEEE"/>
            <w:tcMar>
              <w:top w:w="20" w:type="dxa"/>
              <w:left w:w="20" w:type="dxa"/>
              <w:bottom w:w="20" w:type="dxa"/>
              <w:right w:w="20" w:type="dxa"/>
            </w:tcMar>
            <w:vAlign w:val="center"/>
            <w:hideMark/>
          </w:tcPr>
          <w:p w:rsidR="003D46FD" w:rsidRPr="003D46FD" w:rsidRDefault="00B65B83">
            <w:pPr>
              <w:rPr>
                <w:rFonts w:ascii="Arial" w:hAnsi="Arial" w:cs="Arial"/>
                <w:b/>
                <w:bCs/>
                <w:color w:val="000000"/>
                <w:sz w:val="22"/>
                <w:szCs w:val="22"/>
              </w:rPr>
            </w:pPr>
            <w:r w:rsidRPr="00B65B83">
              <w:rPr>
                <w:rFonts w:ascii="Arial" w:hAnsi="Arial" w:cs="Arial"/>
                <w:b/>
                <w:bCs/>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pt;height:14pt">
                  <v:imagedata r:id="rId7" o:title=""/>
                </v:shape>
              </w:pict>
            </w:r>
          </w:p>
        </w:tc>
        <w:tc>
          <w:tcPr>
            <w:tcW w:w="333" w:type="pct"/>
            <w:gridSpan w:val="3"/>
            <w:shd w:val="clear" w:color="auto" w:fill="EEEEEE"/>
            <w:tcMar>
              <w:top w:w="20" w:type="dxa"/>
              <w:left w:w="20" w:type="dxa"/>
              <w:bottom w:w="20" w:type="dxa"/>
              <w:right w:w="20" w:type="dxa"/>
            </w:tcMar>
            <w:vAlign w:val="center"/>
            <w:hideMark/>
          </w:tcPr>
          <w:p w:rsidR="003D46FD" w:rsidRPr="003D46FD" w:rsidRDefault="003D46FD">
            <w:pPr>
              <w:rPr>
                <w:rFonts w:ascii="Arial" w:hAnsi="Arial" w:cs="Arial"/>
                <w:b/>
                <w:bCs/>
                <w:color w:val="000000"/>
                <w:sz w:val="22"/>
                <w:szCs w:val="22"/>
              </w:rPr>
            </w:pPr>
            <w:r w:rsidRPr="003D46FD">
              <w:rPr>
                <w:rFonts w:ascii="Arial" w:hAnsi="Arial" w:cs="Arial"/>
                <w:b/>
                <w:bCs/>
                <w:color w:val="000000"/>
                <w:sz w:val="22"/>
                <w:szCs w:val="22"/>
              </w:rPr>
              <w:t>&lt;=all</w:t>
            </w:r>
          </w:p>
        </w:tc>
      </w:tr>
      <w:tr w:rsidR="003D46FD">
        <w:trPr>
          <w:tblCellSpacing w:w="0" w:type="dxa"/>
          <w:jc w:val="center"/>
        </w:trPr>
        <w:tc>
          <w:tcPr>
            <w:tcW w:w="0" w:type="auto"/>
            <w:tcBorders>
              <w:top w:val="single" w:sz="4" w:space="0" w:color="000000"/>
            </w:tcBorders>
            <w:shd w:val="clear" w:color="auto" w:fill="EEEEEE"/>
            <w:tcMar>
              <w:top w:w="20" w:type="dxa"/>
              <w:left w:w="20" w:type="dxa"/>
              <w:bottom w:w="20" w:type="dxa"/>
              <w:right w:w="20" w:type="dxa"/>
            </w:tcMar>
            <w:vAlign w:val="center"/>
            <w:hideMark/>
          </w:tcPr>
          <w:p w:rsidR="003D46FD" w:rsidRPr="003D46FD" w:rsidRDefault="003D46FD">
            <w:pPr>
              <w:rPr>
                <w:rFonts w:ascii="Arial" w:hAnsi="Arial" w:cs="Arial"/>
                <w:sz w:val="22"/>
                <w:szCs w:val="22"/>
              </w:rPr>
            </w:pPr>
            <w:r w:rsidRPr="00BA2D07">
              <w:rPr>
                <w:rFonts w:ascii="Arial" w:hAnsi="Arial" w:cs="Arial"/>
                <w:sz w:val="22"/>
                <w:szCs w:val="22"/>
              </w:rPr>
              <w:t>HB 0047</w:t>
            </w:r>
          </w:p>
        </w:tc>
        <w:tc>
          <w:tcPr>
            <w:tcW w:w="0" w:type="auto"/>
            <w:tcBorders>
              <w:top w:val="single" w:sz="4" w:space="0" w:color="000000"/>
            </w:tcBorders>
            <w:shd w:val="clear" w:color="auto" w:fill="EEEEEE"/>
            <w:tcMar>
              <w:top w:w="20" w:type="dxa"/>
              <w:left w:w="20" w:type="dxa"/>
              <w:bottom w:w="20" w:type="dxa"/>
              <w:right w:w="20" w:type="dxa"/>
            </w:tcMar>
            <w:vAlign w:val="center"/>
            <w:hideMark/>
          </w:tcPr>
          <w:p w:rsidR="003D46FD" w:rsidRPr="003D46FD" w:rsidRDefault="003D46FD">
            <w:pPr>
              <w:rPr>
                <w:rFonts w:ascii="Arial" w:hAnsi="Arial" w:cs="Arial"/>
                <w:b/>
                <w:bCs/>
                <w:sz w:val="22"/>
                <w:szCs w:val="22"/>
              </w:rPr>
            </w:pPr>
            <w:r w:rsidRPr="003D46FD">
              <w:rPr>
                <w:rFonts w:ascii="Arial" w:hAnsi="Arial" w:cs="Arial"/>
                <w:b/>
                <w:bCs/>
                <w:sz w:val="22"/>
                <w:szCs w:val="22"/>
              </w:rPr>
              <w:t xml:space="preserve">Relating to Firesafety Devices </w:t>
            </w:r>
          </w:p>
        </w:tc>
        <w:tc>
          <w:tcPr>
            <w:tcW w:w="0" w:type="auto"/>
            <w:tcBorders>
              <w:top w:val="single" w:sz="4" w:space="0" w:color="000000"/>
            </w:tcBorders>
            <w:shd w:val="clear" w:color="auto" w:fill="EEEEEE"/>
            <w:tcMar>
              <w:top w:w="20" w:type="dxa"/>
              <w:left w:w="20" w:type="dxa"/>
              <w:bottom w:w="20" w:type="dxa"/>
              <w:right w:w="20" w:type="dxa"/>
            </w:tcMar>
            <w:vAlign w:val="center"/>
            <w:hideMark/>
          </w:tcPr>
          <w:p w:rsidR="003D46FD" w:rsidRPr="003D46FD" w:rsidRDefault="003D46FD">
            <w:pPr>
              <w:rPr>
                <w:rFonts w:ascii="Arial" w:hAnsi="Arial" w:cs="Arial"/>
                <w:sz w:val="22"/>
                <w:szCs w:val="22"/>
              </w:rPr>
            </w:pPr>
            <w:r w:rsidRPr="00BA2D07">
              <w:rPr>
                <w:rFonts w:ascii="Arial" w:hAnsi="Arial" w:cs="Arial"/>
                <w:sz w:val="22"/>
                <w:szCs w:val="22"/>
              </w:rPr>
              <w:t>Hooper</w:t>
            </w:r>
            <w:r w:rsidRPr="003D46FD">
              <w:rPr>
                <w:rFonts w:ascii="Arial" w:hAnsi="Arial" w:cs="Arial"/>
                <w:sz w:val="22"/>
                <w:szCs w:val="22"/>
              </w:rPr>
              <w:t xml:space="preserve"> </w:t>
            </w:r>
          </w:p>
        </w:tc>
        <w:tc>
          <w:tcPr>
            <w:tcW w:w="0" w:type="auto"/>
            <w:tcBorders>
              <w:top w:val="single" w:sz="4" w:space="0" w:color="000000"/>
            </w:tcBorders>
            <w:shd w:val="clear" w:color="auto" w:fill="EEEEEE"/>
            <w:tcMar>
              <w:top w:w="20" w:type="dxa"/>
              <w:left w:w="20" w:type="dxa"/>
              <w:bottom w:w="20" w:type="dxa"/>
              <w:right w:w="20" w:type="dxa"/>
            </w:tcMar>
            <w:vAlign w:val="center"/>
            <w:hideMark/>
          </w:tcPr>
          <w:p w:rsidR="003D46FD" w:rsidRPr="003D46FD" w:rsidRDefault="003D46FD">
            <w:pPr>
              <w:rPr>
                <w:rFonts w:ascii="Arial" w:hAnsi="Arial" w:cs="Arial"/>
                <w:sz w:val="22"/>
                <w:szCs w:val="22"/>
              </w:rPr>
            </w:pPr>
            <w:r w:rsidRPr="003D46FD">
              <w:rPr>
                <w:rFonts w:ascii="Arial" w:hAnsi="Arial" w:cs="Arial"/>
                <w:sz w:val="22"/>
                <w:szCs w:val="22"/>
              </w:rPr>
              <w:t>01/11/13</w:t>
            </w:r>
          </w:p>
        </w:tc>
        <w:tc>
          <w:tcPr>
            <w:tcW w:w="0" w:type="auto"/>
            <w:tcBorders>
              <w:top w:val="single" w:sz="4" w:space="0" w:color="000000"/>
            </w:tcBorders>
            <w:shd w:val="clear" w:color="auto" w:fill="EEEEEE"/>
            <w:tcMar>
              <w:top w:w="20" w:type="dxa"/>
              <w:left w:w="20" w:type="dxa"/>
              <w:bottom w:w="20" w:type="dxa"/>
              <w:right w:w="20" w:type="dxa"/>
            </w:tcMar>
            <w:vAlign w:val="center"/>
            <w:hideMark/>
          </w:tcPr>
          <w:p w:rsidR="003D46FD" w:rsidRPr="003D46FD" w:rsidRDefault="00B65B83">
            <w:pPr>
              <w:rPr>
                <w:rFonts w:ascii="Arial" w:hAnsi="Arial" w:cs="Arial"/>
                <w:sz w:val="22"/>
                <w:szCs w:val="22"/>
              </w:rPr>
            </w:pPr>
            <w:r w:rsidRPr="00B65B83">
              <w:rPr>
                <w:rFonts w:ascii="Arial" w:hAnsi="Arial" w:cs="Arial"/>
              </w:rPr>
              <w:pict>
                <v:shape id="_x0000_i1026" type="#_x0000_t75" style="width:16.5pt;height:14pt">
                  <v:imagedata r:id="rId7" o:title=""/>
                </v:shape>
              </w:pict>
            </w:r>
          </w:p>
        </w:tc>
        <w:tc>
          <w:tcPr>
            <w:tcW w:w="0" w:type="auto"/>
            <w:tcBorders>
              <w:top w:val="single" w:sz="4" w:space="0" w:color="000000"/>
            </w:tcBorders>
            <w:shd w:val="clear" w:color="auto" w:fill="EEEEEE"/>
            <w:tcMar>
              <w:top w:w="20" w:type="dxa"/>
              <w:left w:w="20" w:type="dxa"/>
              <w:bottom w:w="20" w:type="dxa"/>
              <w:right w:w="20" w:type="dxa"/>
            </w:tcMar>
            <w:vAlign w:val="center"/>
            <w:hideMark/>
          </w:tcPr>
          <w:p w:rsidR="003D46FD" w:rsidRPr="003D46FD" w:rsidRDefault="003D46FD">
            <w:pPr>
              <w:rPr>
                <w:rFonts w:ascii="Arial" w:hAnsi="Arial" w:cs="Arial"/>
                <w:sz w:val="22"/>
                <w:szCs w:val="22"/>
              </w:rPr>
            </w:pPr>
            <w:r w:rsidRPr="003D46FD">
              <w:rPr>
                <w:rFonts w:ascii="Arial" w:hAnsi="Arial" w:cs="Arial"/>
                <w:sz w:val="22"/>
                <w:szCs w:val="22"/>
              </w:rPr>
              <w:t> </w:t>
            </w:r>
          </w:p>
        </w:tc>
        <w:tc>
          <w:tcPr>
            <w:tcW w:w="0" w:type="auto"/>
            <w:tcBorders>
              <w:top w:val="single" w:sz="4" w:space="0" w:color="000000"/>
            </w:tcBorders>
            <w:shd w:val="clear" w:color="auto" w:fill="EEEEEE"/>
            <w:tcMar>
              <w:top w:w="20" w:type="dxa"/>
              <w:left w:w="20" w:type="dxa"/>
              <w:bottom w:w="20" w:type="dxa"/>
              <w:right w:w="20" w:type="dxa"/>
            </w:tcMar>
            <w:vAlign w:val="center"/>
            <w:hideMark/>
          </w:tcPr>
          <w:p w:rsidR="003D46FD" w:rsidRPr="003D46FD" w:rsidRDefault="003D46FD">
            <w:pPr>
              <w:jc w:val="center"/>
              <w:rPr>
                <w:rFonts w:ascii="Arial" w:hAnsi="Arial" w:cs="Arial"/>
                <w:sz w:val="22"/>
                <w:szCs w:val="22"/>
              </w:rPr>
            </w:pPr>
            <w:r w:rsidRPr="003D46FD">
              <w:rPr>
                <w:rFonts w:ascii="Arial" w:hAnsi="Arial" w:cs="Arial"/>
                <w:noProof/>
                <w:color w:val="003366"/>
                <w:sz w:val="22"/>
                <w:szCs w:val="22"/>
              </w:rPr>
              <w:drawing>
                <wp:inline distT="0" distB="0" distL="0" distR="0">
                  <wp:extent cx="133350" cy="133350"/>
                  <wp:effectExtent l="19050" t="0" r="0" b="0"/>
                  <wp:docPr id="1" name="Picture 1" descr="ADD 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DD NOTE">
                            <a:hlinkClick r:id="rId8"/>
                          </pic:cNvPr>
                          <pic:cNvPicPr>
                            <a:picLocks noChangeAspect="1" noChangeArrowheads="1"/>
                          </pic:cNvPicPr>
                        </pic:nvPicPr>
                        <pic:blipFill>
                          <a:blip r:embed="rId9"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p>
        </w:tc>
        <w:tc>
          <w:tcPr>
            <w:tcW w:w="0" w:type="auto"/>
            <w:tcBorders>
              <w:top w:val="single" w:sz="4" w:space="0" w:color="000000"/>
            </w:tcBorders>
            <w:shd w:val="clear" w:color="auto" w:fill="EEEEEE"/>
            <w:tcMar>
              <w:top w:w="20" w:type="dxa"/>
              <w:left w:w="20" w:type="dxa"/>
              <w:bottom w:w="20" w:type="dxa"/>
              <w:right w:w="20" w:type="dxa"/>
            </w:tcMar>
            <w:vAlign w:val="center"/>
            <w:hideMark/>
          </w:tcPr>
          <w:p w:rsidR="003D46FD" w:rsidRPr="003D46FD" w:rsidRDefault="003D46FD">
            <w:pPr>
              <w:jc w:val="center"/>
              <w:rPr>
                <w:rFonts w:ascii="Arial" w:hAnsi="Arial" w:cs="Arial"/>
                <w:sz w:val="22"/>
                <w:szCs w:val="22"/>
              </w:rPr>
            </w:pPr>
            <w:r w:rsidRPr="003D46FD">
              <w:rPr>
                <w:rFonts w:ascii="Arial" w:hAnsi="Arial" w:cs="Arial"/>
                <w:noProof/>
                <w:color w:val="003366"/>
                <w:sz w:val="22"/>
                <w:szCs w:val="22"/>
              </w:rPr>
              <w:drawing>
                <wp:inline distT="0" distB="0" distL="0" distR="0">
                  <wp:extent cx="114300" cy="114300"/>
                  <wp:effectExtent l="19050" t="0" r="0" b="0"/>
                  <wp:docPr id="2" name="Picture 2" descr="http://static.lobbytools.com/images/ico_dele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tatic.lobbytools.com/images/ico_delete.gif">
                            <a:hlinkClick r:id="rId10"/>
                          </pic:cNvPr>
                          <pic:cNvPicPr>
                            <a:picLocks noChangeAspect="1" noChangeArrowheads="1"/>
                          </pic:cNvPicPr>
                        </pic:nvPicPr>
                        <pic:blipFill>
                          <a:blip r:embed="rId11"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p>
        </w:tc>
      </w:tr>
      <w:tr w:rsidR="003D46FD">
        <w:trPr>
          <w:tblCellSpacing w:w="0" w:type="dxa"/>
          <w:jc w:val="center"/>
        </w:trPr>
        <w:tc>
          <w:tcPr>
            <w:tcW w:w="0" w:type="auto"/>
            <w:tcMar>
              <w:top w:w="20" w:type="dxa"/>
              <w:left w:w="20" w:type="dxa"/>
              <w:bottom w:w="20" w:type="dxa"/>
              <w:right w:w="20" w:type="dxa"/>
            </w:tcMar>
            <w:vAlign w:val="center"/>
            <w:hideMark/>
          </w:tcPr>
          <w:p w:rsidR="003D46FD" w:rsidRPr="003D46FD" w:rsidRDefault="003D46FD">
            <w:pPr>
              <w:rPr>
                <w:rFonts w:ascii="Arial" w:hAnsi="Arial" w:cs="Arial"/>
                <w:sz w:val="22"/>
                <w:szCs w:val="22"/>
              </w:rPr>
            </w:pPr>
          </w:p>
        </w:tc>
        <w:tc>
          <w:tcPr>
            <w:tcW w:w="0" w:type="auto"/>
            <w:gridSpan w:val="6"/>
            <w:tcMar>
              <w:top w:w="20" w:type="dxa"/>
              <w:left w:w="20" w:type="dxa"/>
              <w:bottom w:w="20" w:type="dxa"/>
              <w:right w:w="20" w:type="dxa"/>
            </w:tcMar>
            <w:vAlign w:val="center"/>
            <w:hideMark/>
          </w:tcPr>
          <w:p w:rsidR="003D46FD" w:rsidRPr="003D46FD" w:rsidRDefault="003D46FD">
            <w:pPr>
              <w:rPr>
                <w:rFonts w:ascii="Arial" w:hAnsi="Arial" w:cs="Arial"/>
                <w:sz w:val="22"/>
                <w:szCs w:val="22"/>
              </w:rPr>
            </w:pPr>
            <w:r w:rsidRPr="003D46FD">
              <w:rPr>
                <w:rFonts w:ascii="Arial" w:hAnsi="Arial" w:cs="Arial"/>
                <w:sz w:val="22"/>
                <w:szCs w:val="22"/>
              </w:rPr>
              <w:t>Firesafety Devices: Requires certain battery-operated smoke alarms to meet specified standards. Effective Date: July 1, 2013</w:t>
            </w:r>
          </w:p>
        </w:tc>
        <w:tc>
          <w:tcPr>
            <w:tcW w:w="0" w:type="auto"/>
            <w:vAlign w:val="center"/>
            <w:hideMark/>
          </w:tcPr>
          <w:p w:rsidR="003D46FD" w:rsidRPr="003D46FD" w:rsidRDefault="003D46FD">
            <w:pPr>
              <w:rPr>
                <w:sz w:val="22"/>
                <w:szCs w:val="22"/>
              </w:rPr>
            </w:pPr>
          </w:p>
        </w:tc>
      </w:tr>
      <w:tr w:rsidR="003D46FD">
        <w:trPr>
          <w:tblCellSpacing w:w="0" w:type="dxa"/>
          <w:jc w:val="center"/>
        </w:trPr>
        <w:tc>
          <w:tcPr>
            <w:tcW w:w="0" w:type="auto"/>
            <w:tcMar>
              <w:top w:w="20" w:type="dxa"/>
              <w:left w:w="20" w:type="dxa"/>
              <w:bottom w:w="20" w:type="dxa"/>
              <w:right w:w="20" w:type="dxa"/>
            </w:tcMar>
            <w:vAlign w:val="center"/>
            <w:hideMark/>
          </w:tcPr>
          <w:p w:rsidR="003D46FD" w:rsidRPr="003D46FD" w:rsidRDefault="003D46FD">
            <w:pPr>
              <w:rPr>
                <w:rFonts w:ascii="Arial" w:hAnsi="Arial" w:cs="Arial"/>
                <w:sz w:val="22"/>
                <w:szCs w:val="22"/>
              </w:rPr>
            </w:pPr>
          </w:p>
        </w:tc>
        <w:tc>
          <w:tcPr>
            <w:tcW w:w="0" w:type="auto"/>
            <w:gridSpan w:val="7"/>
            <w:tcMar>
              <w:top w:w="20" w:type="dxa"/>
              <w:left w:w="20" w:type="dxa"/>
              <w:bottom w:w="20" w:type="dxa"/>
              <w:right w:w="20" w:type="dxa"/>
            </w:tcMar>
            <w:vAlign w:val="center"/>
            <w:hideMark/>
          </w:tcPr>
          <w:tbl>
            <w:tblPr>
              <w:tblW w:w="0" w:type="auto"/>
              <w:tblCellSpacing w:w="0" w:type="dxa"/>
              <w:tblCellMar>
                <w:left w:w="0" w:type="dxa"/>
                <w:right w:w="0" w:type="dxa"/>
              </w:tblCellMar>
              <w:tblLook w:val="04A0"/>
            </w:tblPr>
            <w:tblGrid>
              <w:gridCol w:w="958"/>
              <w:gridCol w:w="1361"/>
            </w:tblGrid>
            <w:tr w:rsidR="003D46FD" w:rsidRPr="003D46FD">
              <w:trPr>
                <w:tblCellSpacing w:w="0" w:type="dxa"/>
              </w:trPr>
              <w:tc>
                <w:tcPr>
                  <w:tcW w:w="0" w:type="auto"/>
                  <w:tcMar>
                    <w:top w:w="20" w:type="dxa"/>
                    <w:left w:w="20" w:type="dxa"/>
                    <w:bottom w:w="20" w:type="dxa"/>
                    <w:right w:w="20" w:type="dxa"/>
                  </w:tcMar>
                  <w:hideMark/>
                </w:tcPr>
                <w:p w:rsidR="003D46FD" w:rsidRPr="003D46FD" w:rsidRDefault="003D46FD">
                  <w:pPr>
                    <w:rPr>
                      <w:rFonts w:ascii="Arial" w:hAnsi="Arial" w:cs="Arial"/>
                      <w:sz w:val="22"/>
                      <w:szCs w:val="22"/>
                    </w:rPr>
                  </w:pPr>
                  <w:r w:rsidRPr="003D46FD">
                    <w:rPr>
                      <w:rFonts w:ascii="Arial" w:hAnsi="Arial" w:cs="Arial"/>
                      <w:sz w:val="22"/>
                      <w:szCs w:val="22"/>
                    </w:rPr>
                    <w:t>12/18/12 </w:t>
                  </w:r>
                </w:p>
              </w:tc>
              <w:tc>
                <w:tcPr>
                  <w:tcW w:w="0" w:type="auto"/>
                  <w:tcMar>
                    <w:top w:w="20" w:type="dxa"/>
                    <w:left w:w="20" w:type="dxa"/>
                    <w:bottom w:w="20" w:type="dxa"/>
                    <w:right w:w="20" w:type="dxa"/>
                  </w:tcMar>
                  <w:vAlign w:val="center"/>
                  <w:hideMark/>
                </w:tcPr>
                <w:p w:rsidR="003D46FD" w:rsidRPr="003D46FD" w:rsidRDefault="003D46FD">
                  <w:pPr>
                    <w:rPr>
                      <w:rFonts w:ascii="Arial" w:hAnsi="Arial" w:cs="Arial"/>
                      <w:sz w:val="22"/>
                      <w:szCs w:val="22"/>
                    </w:rPr>
                  </w:pPr>
                  <w:r w:rsidRPr="003D46FD">
                    <w:rPr>
                      <w:rFonts w:ascii="Arial" w:hAnsi="Arial" w:cs="Arial"/>
                      <w:sz w:val="22"/>
                      <w:szCs w:val="22"/>
                    </w:rPr>
                    <w:t>HOUSE Filed</w:t>
                  </w:r>
                </w:p>
              </w:tc>
            </w:tr>
          </w:tbl>
          <w:p w:rsidR="003D46FD" w:rsidRPr="003D46FD" w:rsidRDefault="003D46FD">
            <w:pPr>
              <w:rPr>
                <w:rFonts w:ascii="Arial" w:hAnsi="Arial" w:cs="Arial"/>
                <w:sz w:val="22"/>
                <w:szCs w:val="22"/>
              </w:rPr>
            </w:pPr>
          </w:p>
        </w:tc>
      </w:tr>
      <w:tr w:rsidR="003D46FD">
        <w:trPr>
          <w:tblCellSpacing w:w="0" w:type="dxa"/>
          <w:jc w:val="center"/>
        </w:trPr>
        <w:tc>
          <w:tcPr>
            <w:tcW w:w="0" w:type="auto"/>
            <w:tcMar>
              <w:top w:w="20" w:type="dxa"/>
              <w:left w:w="20" w:type="dxa"/>
              <w:bottom w:w="20" w:type="dxa"/>
              <w:right w:w="20" w:type="dxa"/>
            </w:tcMar>
            <w:vAlign w:val="center"/>
            <w:hideMark/>
          </w:tcPr>
          <w:p w:rsidR="003D46FD" w:rsidRPr="003D46FD" w:rsidRDefault="003D46FD">
            <w:pPr>
              <w:rPr>
                <w:rFonts w:ascii="Arial" w:hAnsi="Arial" w:cs="Arial"/>
                <w:sz w:val="22"/>
                <w:szCs w:val="22"/>
              </w:rPr>
            </w:pPr>
          </w:p>
        </w:tc>
        <w:tc>
          <w:tcPr>
            <w:tcW w:w="0" w:type="auto"/>
            <w:gridSpan w:val="7"/>
            <w:tcMar>
              <w:top w:w="20" w:type="dxa"/>
              <w:left w:w="20" w:type="dxa"/>
              <w:bottom w:w="20" w:type="dxa"/>
              <w:right w:w="20" w:type="dxa"/>
            </w:tcMar>
            <w:vAlign w:val="center"/>
            <w:hideMark/>
          </w:tcPr>
          <w:tbl>
            <w:tblPr>
              <w:tblW w:w="0" w:type="auto"/>
              <w:tblCellSpacing w:w="0" w:type="dxa"/>
              <w:tblCellMar>
                <w:left w:w="0" w:type="dxa"/>
                <w:right w:w="0" w:type="dxa"/>
              </w:tblCellMar>
              <w:tblLook w:val="04A0"/>
            </w:tblPr>
            <w:tblGrid>
              <w:gridCol w:w="958"/>
              <w:gridCol w:w="7632"/>
            </w:tblGrid>
            <w:tr w:rsidR="003D46FD" w:rsidRPr="003D46FD">
              <w:trPr>
                <w:tblCellSpacing w:w="0" w:type="dxa"/>
              </w:trPr>
              <w:tc>
                <w:tcPr>
                  <w:tcW w:w="0" w:type="auto"/>
                  <w:tcMar>
                    <w:top w:w="20" w:type="dxa"/>
                    <w:left w:w="20" w:type="dxa"/>
                    <w:bottom w:w="20" w:type="dxa"/>
                    <w:right w:w="20" w:type="dxa"/>
                  </w:tcMar>
                  <w:hideMark/>
                </w:tcPr>
                <w:p w:rsidR="003D46FD" w:rsidRPr="003D46FD" w:rsidRDefault="003D46FD">
                  <w:pPr>
                    <w:rPr>
                      <w:rFonts w:ascii="Arial" w:hAnsi="Arial" w:cs="Arial"/>
                      <w:sz w:val="22"/>
                      <w:szCs w:val="22"/>
                    </w:rPr>
                  </w:pPr>
                  <w:r w:rsidRPr="003D46FD">
                    <w:rPr>
                      <w:rFonts w:ascii="Arial" w:hAnsi="Arial" w:cs="Arial"/>
                      <w:sz w:val="22"/>
                      <w:szCs w:val="22"/>
                    </w:rPr>
                    <w:t>01/11/13 </w:t>
                  </w:r>
                </w:p>
              </w:tc>
              <w:tc>
                <w:tcPr>
                  <w:tcW w:w="0" w:type="auto"/>
                  <w:tcMar>
                    <w:top w:w="20" w:type="dxa"/>
                    <w:left w:w="20" w:type="dxa"/>
                    <w:bottom w:w="20" w:type="dxa"/>
                    <w:right w:w="20" w:type="dxa"/>
                  </w:tcMar>
                  <w:vAlign w:val="center"/>
                  <w:hideMark/>
                </w:tcPr>
                <w:p w:rsidR="003D46FD" w:rsidRPr="003D46FD" w:rsidRDefault="003D46FD">
                  <w:pPr>
                    <w:rPr>
                      <w:rFonts w:ascii="Arial" w:hAnsi="Arial" w:cs="Arial"/>
                      <w:sz w:val="22"/>
                      <w:szCs w:val="22"/>
                    </w:rPr>
                  </w:pPr>
                  <w:r w:rsidRPr="003D46FD">
                    <w:rPr>
                      <w:rFonts w:ascii="Arial" w:hAnsi="Arial" w:cs="Arial"/>
                      <w:sz w:val="22"/>
                      <w:szCs w:val="22"/>
                    </w:rPr>
                    <w:t xml:space="preserve">HOUSE Referred to Insurance &amp; Banking Subcommittee; Business &amp; Professional Regulation Subcommittee; Regulatory Affairs Committee </w:t>
                  </w:r>
                </w:p>
              </w:tc>
            </w:tr>
          </w:tbl>
          <w:p w:rsidR="003D46FD" w:rsidRPr="003D46FD" w:rsidRDefault="003D46FD">
            <w:pPr>
              <w:rPr>
                <w:rFonts w:ascii="Arial" w:hAnsi="Arial" w:cs="Arial"/>
                <w:sz w:val="22"/>
                <w:szCs w:val="22"/>
              </w:rPr>
            </w:pPr>
          </w:p>
        </w:tc>
      </w:tr>
      <w:tr w:rsidR="003D46FD">
        <w:trPr>
          <w:tblCellSpacing w:w="0" w:type="dxa"/>
          <w:jc w:val="center"/>
        </w:trPr>
        <w:tc>
          <w:tcPr>
            <w:tcW w:w="0" w:type="auto"/>
            <w:tcMar>
              <w:top w:w="20" w:type="dxa"/>
              <w:left w:w="20" w:type="dxa"/>
              <w:bottom w:w="20" w:type="dxa"/>
              <w:right w:w="20" w:type="dxa"/>
            </w:tcMar>
            <w:vAlign w:val="center"/>
            <w:hideMark/>
          </w:tcPr>
          <w:p w:rsidR="003D46FD" w:rsidRPr="003D46FD" w:rsidRDefault="003D46FD">
            <w:pPr>
              <w:rPr>
                <w:rFonts w:ascii="Arial" w:hAnsi="Arial" w:cs="Arial"/>
                <w:sz w:val="22"/>
                <w:szCs w:val="22"/>
              </w:rPr>
            </w:pPr>
          </w:p>
        </w:tc>
        <w:tc>
          <w:tcPr>
            <w:tcW w:w="0" w:type="auto"/>
            <w:gridSpan w:val="7"/>
            <w:tcMar>
              <w:top w:w="20" w:type="dxa"/>
              <w:left w:w="20" w:type="dxa"/>
              <w:bottom w:w="20" w:type="dxa"/>
              <w:right w:w="20" w:type="dxa"/>
            </w:tcMar>
            <w:vAlign w:val="center"/>
            <w:hideMark/>
          </w:tcPr>
          <w:tbl>
            <w:tblPr>
              <w:tblW w:w="0" w:type="auto"/>
              <w:tblCellSpacing w:w="0" w:type="dxa"/>
              <w:tblCellMar>
                <w:left w:w="0" w:type="dxa"/>
                <w:right w:w="0" w:type="dxa"/>
              </w:tblCellMar>
              <w:tblLook w:val="04A0"/>
            </w:tblPr>
            <w:tblGrid>
              <w:gridCol w:w="958"/>
              <w:gridCol w:w="5115"/>
            </w:tblGrid>
            <w:tr w:rsidR="003D46FD" w:rsidRPr="003D46FD">
              <w:trPr>
                <w:tblCellSpacing w:w="0" w:type="dxa"/>
              </w:trPr>
              <w:tc>
                <w:tcPr>
                  <w:tcW w:w="0" w:type="auto"/>
                  <w:tcMar>
                    <w:top w:w="20" w:type="dxa"/>
                    <w:left w:w="20" w:type="dxa"/>
                    <w:bottom w:w="20" w:type="dxa"/>
                    <w:right w:w="20" w:type="dxa"/>
                  </w:tcMar>
                  <w:hideMark/>
                </w:tcPr>
                <w:p w:rsidR="003D46FD" w:rsidRPr="003D46FD" w:rsidRDefault="003D46FD">
                  <w:pPr>
                    <w:rPr>
                      <w:rFonts w:ascii="Arial" w:hAnsi="Arial" w:cs="Arial"/>
                      <w:sz w:val="22"/>
                      <w:szCs w:val="22"/>
                    </w:rPr>
                  </w:pPr>
                  <w:r w:rsidRPr="003D46FD">
                    <w:rPr>
                      <w:rFonts w:ascii="Arial" w:hAnsi="Arial" w:cs="Arial"/>
                      <w:sz w:val="22"/>
                      <w:szCs w:val="22"/>
                    </w:rPr>
                    <w:t>01/11/13 </w:t>
                  </w:r>
                </w:p>
              </w:tc>
              <w:tc>
                <w:tcPr>
                  <w:tcW w:w="0" w:type="auto"/>
                  <w:tcMar>
                    <w:top w:w="20" w:type="dxa"/>
                    <w:left w:w="20" w:type="dxa"/>
                    <w:bottom w:w="20" w:type="dxa"/>
                    <w:right w:w="20" w:type="dxa"/>
                  </w:tcMar>
                  <w:vAlign w:val="center"/>
                  <w:hideMark/>
                </w:tcPr>
                <w:p w:rsidR="003D46FD" w:rsidRPr="003D46FD" w:rsidRDefault="003D46FD">
                  <w:pPr>
                    <w:rPr>
                      <w:rFonts w:ascii="Arial" w:hAnsi="Arial" w:cs="Arial"/>
                      <w:sz w:val="22"/>
                      <w:szCs w:val="22"/>
                    </w:rPr>
                  </w:pPr>
                  <w:r w:rsidRPr="003D46FD">
                    <w:rPr>
                      <w:rFonts w:ascii="Arial" w:hAnsi="Arial" w:cs="Arial"/>
                      <w:sz w:val="22"/>
                      <w:szCs w:val="22"/>
                    </w:rPr>
                    <w:t xml:space="preserve">HOUSE Now in Insurance &amp; Banking Subcommittee </w:t>
                  </w:r>
                </w:p>
              </w:tc>
            </w:tr>
          </w:tbl>
          <w:p w:rsidR="003D46FD" w:rsidRPr="003D46FD" w:rsidRDefault="003D46FD">
            <w:pPr>
              <w:rPr>
                <w:rFonts w:ascii="Arial" w:hAnsi="Arial" w:cs="Arial"/>
                <w:sz w:val="22"/>
                <w:szCs w:val="22"/>
              </w:rPr>
            </w:pPr>
          </w:p>
        </w:tc>
      </w:tr>
      <w:tr w:rsidR="003D46FD">
        <w:trPr>
          <w:tblCellSpacing w:w="0" w:type="dxa"/>
          <w:jc w:val="center"/>
        </w:trPr>
        <w:tc>
          <w:tcPr>
            <w:tcW w:w="0" w:type="auto"/>
            <w:tcBorders>
              <w:top w:val="single" w:sz="4" w:space="0" w:color="000000"/>
            </w:tcBorders>
            <w:shd w:val="clear" w:color="auto" w:fill="EEEEEE"/>
            <w:tcMar>
              <w:top w:w="20" w:type="dxa"/>
              <w:left w:w="20" w:type="dxa"/>
              <w:bottom w:w="20" w:type="dxa"/>
              <w:right w:w="20" w:type="dxa"/>
            </w:tcMar>
            <w:vAlign w:val="center"/>
            <w:hideMark/>
          </w:tcPr>
          <w:p w:rsidR="003D46FD" w:rsidRPr="003D46FD" w:rsidRDefault="003D46FD">
            <w:pPr>
              <w:rPr>
                <w:rFonts w:ascii="Arial" w:hAnsi="Arial" w:cs="Arial"/>
                <w:sz w:val="22"/>
                <w:szCs w:val="22"/>
              </w:rPr>
            </w:pPr>
            <w:r w:rsidRPr="00BA2D07">
              <w:rPr>
                <w:rFonts w:ascii="Arial" w:hAnsi="Arial" w:cs="Arial"/>
                <w:sz w:val="22"/>
                <w:szCs w:val="22"/>
              </w:rPr>
              <w:t>HB 0057</w:t>
            </w:r>
          </w:p>
        </w:tc>
        <w:tc>
          <w:tcPr>
            <w:tcW w:w="0" w:type="auto"/>
            <w:tcBorders>
              <w:top w:val="single" w:sz="4" w:space="0" w:color="000000"/>
            </w:tcBorders>
            <w:shd w:val="clear" w:color="auto" w:fill="EEEEEE"/>
            <w:tcMar>
              <w:top w:w="20" w:type="dxa"/>
              <w:left w:w="20" w:type="dxa"/>
              <w:bottom w:w="20" w:type="dxa"/>
              <w:right w:w="20" w:type="dxa"/>
            </w:tcMar>
            <w:vAlign w:val="center"/>
            <w:hideMark/>
          </w:tcPr>
          <w:p w:rsidR="003D46FD" w:rsidRPr="003D46FD" w:rsidRDefault="003D46FD">
            <w:pPr>
              <w:rPr>
                <w:rFonts w:ascii="Arial" w:hAnsi="Arial" w:cs="Arial"/>
                <w:b/>
                <w:bCs/>
                <w:sz w:val="22"/>
                <w:szCs w:val="22"/>
              </w:rPr>
            </w:pPr>
            <w:r w:rsidRPr="003D46FD">
              <w:rPr>
                <w:rFonts w:ascii="Arial" w:hAnsi="Arial" w:cs="Arial"/>
                <w:b/>
                <w:bCs/>
                <w:sz w:val="22"/>
                <w:szCs w:val="22"/>
              </w:rPr>
              <w:t>Relating to Department of Business and Professional Regulation</w:t>
            </w:r>
          </w:p>
        </w:tc>
        <w:tc>
          <w:tcPr>
            <w:tcW w:w="0" w:type="auto"/>
            <w:tcBorders>
              <w:top w:val="single" w:sz="4" w:space="0" w:color="000000"/>
            </w:tcBorders>
            <w:shd w:val="clear" w:color="auto" w:fill="EEEEEE"/>
            <w:tcMar>
              <w:top w:w="20" w:type="dxa"/>
              <w:left w:w="20" w:type="dxa"/>
              <w:bottom w:w="20" w:type="dxa"/>
              <w:right w:w="20" w:type="dxa"/>
            </w:tcMar>
            <w:vAlign w:val="center"/>
            <w:hideMark/>
          </w:tcPr>
          <w:p w:rsidR="003D46FD" w:rsidRPr="003D46FD" w:rsidRDefault="003D46FD">
            <w:pPr>
              <w:rPr>
                <w:rFonts w:ascii="Arial" w:hAnsi="Arial" w:cs="Arial"/>
                <w:sz w:val="22"/>
                <w:szCs w:val="22"/>
              </w:rPr>
            </w:pPr>
            <w:r w:rsidRPr="00BA2D07">
              <w:rPr>
                <w:rFonts w:ascii="Arial" w:hAnsi="Arial" w:cs="Arial"/>
                <w:sz w:val="22"/>
                <w:szCs w:val="22"/>
              </w:rPr>
              <w:t>Porter</w:t>
            </w:r>
            <w:r w:rsidRPr="003D46FD">
              <w:rPr>
                <w:rFonts w:ascii="Arial" w:hAnsi="Arial" w:cs="Arial"/>
                <w:sz w:val="22"/>
                <w:szCs w:val="22"/>
              </w:rPr>
              <w:t xml:space="preserve"> </w:t>
            </w:r>
          </w:p>
        </w:tc>
        <w:tc>
          <w:tcPr>
            <w:tcW w:w="0" w:type="auto"/>
            <w:tcBorders>
              <w:top w:val="single" w:sz="4" w:space="0" w:color="000000"/>
            </w:tcBorders>
            <w:shd w:val="clear" w:color="auto" w:fill="EEEEEE"/>
            <w:tcMar>
              <w:top w:w="20" w:type="dxa"/>
              <w:left w:w="20" w:type="dxa"/>
              <w:bottom w:w="20" w:type="dxa"/>
              <w:right w:w="20" w:type="dxa"/>
            </w:tcMar>
            <w:vAlign w:val="center"/>
            <w:hideMark/>
          </w:tcPr>
          <w:p w:rsidR="003D46FD" w:rsidRPr="003D46FD" w:rsidRDefault="003D46FD">
            <w:pPr>
              <w:rPr>
                <w:rFonts w:ascii="Arial" w:hAnsi="Arial" w:cs="Arial"/>
                <w:sz w:val="22"/>
                <w:szCs w:val="22"/>
              </w:rPr>
            </w:pPr>
            <w:r w:rsidRPr="003D46FD">
              <w:rPr>
                <w:rFonts w:ascii="Arial" w:hAnsi="Arial" w:cs="Arial"/>
                <w:sz w:val="22"/>
                <w:szCs w:val="22"/>
              </w:rPr>
              <w:t>01/11/13</w:t>
            </w:r>
          </w:p>
        </w:tc>
        <w:tc>
          <w:tcPr>
            <w:tcW w:w="0" w:type="auto"/>
            <w:tcBorders>
              <w:top w:val="single" w:sz="4" w:space="0" w:color="000000"/>
            </w:tcBorders>
            <w:shd w:val="clear" w:color="auto" w:fill="EEEEEE"/>
            <w:tcMar>
              <w:top w:w="20" w:type="dxa"/>
              <w:left w:w="20" w:type="dxa"/>
              <w:bottom w:w="20" w:type="dxa"/>
              <w:right w:w="20" w:type="dxa"/>
            </w:tcMar>
            <w:vAlign w:val="center"/>
            <w:hideMark/>
          </w:tcPr>
          <w:p w:rsidR="003D46FD" w:rsidRPr="003D46FD" w:rsidRDefault="00B65B83">
            <w:pPr>
              <w:rPr>
                <w:rFonts w:ascii="Arial" w:hAnsi="Arial" w:cs="Arial"/>
                <w:sz w:val="22"/>
                <w:szCs w:val="22"/>
              </w:rPr>
            </w:pPr>
            <w:r w:rsidRPr="00B65B83">
              <w:rPr>
                <w:rFonts w:ascii="Arial" w:hAnsi="Arial" w:cs="Arial"/>
              </w:rPr>
              <w:pict>
                <v:shape id="_x0000_i1027" type="#_x0000_t75" style="width:16.5pt;height:14pt">
                  <v:imagedata r:id="rId7" o:title=""/>
                </v:shape>
              </w:pict>
            </w:r>
          </w:p>
        </w:tc>
        <w:tc>
          <w:tcPr>
            <w:tcW w:w="0" w:type="auto"/>
            <w:tcBorders>
              <w:top w:val="single" w:sz="4" w:space="0" w:color="000000"/>
            </w:tcBorders>
            <w:shd w:val="clear" w:color="auto" w:fill="EEEEEE"/>
            <w:tcMar>
              <w:top w:w="20" w:type="dxa"/>
              <w:left w:w="20" w:type="dxa"/>
              <w:bottom w:w="20" w:type="dxa"/>
              <w:right w:w="20" w:type="dxa"/>
            </w:tcMar>
            <w:vAlign w:val="center"/>
            <w:hideMark/>
          </w:tcPr>
          <w:p w:rsidR="003D46FD" w:rsidRPr="003D46FD" w:rsidRDefault="003D46FD">
            <w:pPr>
              <w:rPr>
                <w:rFonts w:ascii="Arial" w:hAnsi="Arial" w:cs="Arial"/>
                <w:sz w:val="22"/>
                <w:szCs w:val="22"/>
              </w:rPr>
            </w:pPr>
            <w:r w:rsidRPr="003D46FD">
              <w:rPr>
                <w:rFonts w:ascii="Arial" w:hAnsi="Arial" w:cs="Arial"/>
                <w:sz w:val="22"/>
                <w:szCs w:val="22"/>
              </w:rPr>
              <w:t> </w:t>
            </w:r>
          </w:p>
        </w:tc>
        <w:tc>
          <w:tcPr>
            <w:tcW w:w="0" w:type="auto"/>
            <w:tcBorders>
              <w:top w:val="single" w:sz="4" w:space="0" w:color="000000"/>
            </w:tcBorders>
            <w:shd w:val="clear" w:color="auto" w:fill="EEEEEE"/>
            <w:tcMar>
              <w:top w:w="20" w:type="dxa"/>
              <w:left w:w="20" w:type="dxa"/>
              <w:bottom w:w="20" w:type="dxa"/>
              <w:right w:w="20" w:type="dxa"/>
            </w:tcMar>
            <w:vAlign w:val="center"/>
            <w:hideMark/>
          </w:tcPr>
          <w:p w:rsidR="003D46FD" w:rsidRPr="003D46FD" w:rsidRDefault="003D46FD">
            <w:pPr>
              <w:jc w:val="center"/>
              <w:rPr>
                <w:rFonts w:ascii="Arial" w:hAnsi="Arial" w:cs="Arial"/>
                <w:sz w:val="22"/>
                <w:szCs w:val="22"/>
              </w:rPr>
            </w:pPr>
            <w:r w:rsidRPr="003D46FD">
              <w:rPr>
                <w:rFonts w:ascii="Arial" w:hAnsi="Arial" w:cs="Arial"/>
                <w:noProof/>
                <w:color w:val="003366"/>
                <w:sz w:val="22"/>
                <w:szCs w:val="22"/>
              </w:rPr>
              <w:drawing>
                <wp:inline distT="0" distB="0" distL="0" distR="0">
                  <wp:extent cx="133350" cy="133350"/>
                  <wp:effectExtent l="19050" t="0" r="0" b="0"/>
                  <wp:docPr id="3" name="Picture 3" descr="ADD 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DD NOTE">
                            <a:hlinkClick r:id="rId12"/>
                          </pic:cNvPr>
                          <pic:cNvPicPr>
                            <a:picLocks noChangeAspect="1" noChangeArrowheads="1"/>
                          </pic:cNvPicPr>
                        </pic:nvPicPr>
                        <pic:blipFill>
                          <a:blip r:embed="rId9"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p>
        </w:tc>
        <w:tc>
          <w:tcPr>
            <w:tcW w:w="0" w:type="auto"/>
            <w:tcBorders>
              <w:top w:val="single" w:sz="4" w:space="0" w:color="000000"/>
            </w:tcBorders>
            <w:shd w:val="clear" w:color="auto" w:fill="EEEEEE"/>
            <w:tcMar>
              <w:top w:w="20" w:type="dxa"/>
              <w:left w:w="20" w:type="dxa"/>
              <w:bottom w:w="20" w:type="dxa"/>
              <w:right w:w="20" w:type="dxa"/>
            </w:tcMar>
            <w:vAlign w:val="center"/>
            <w:hideMark/>
          </w:tcPr>
          <w:p w:rsidR="003D46FD" w:rsidRPr="003D46FD" w:rsidRDefault="003D46FD">
            <w:pPr>
              <w:jc w:val="center"/>
              <w:rPr>
                <w:rFonts w:ascii="Arial" w:hAnsi="Arial" w:cs="Arial"/>
                <w:sz w:val="22"/>
                <w:szCs w:val="22"/>
              </w:rPr>
            </w:pPr>
            <w:r w:rsidRPr="003D46FD">
              <w:rPr>
                <w:rFonts w:ascii="Arial" w:hAnsi="Arial" w:cs="Arial"/>
                <w:noProof/>
                <w:color w:val="003366"/>
                <w:sz w:val="22"/>
                <w:szCs w:val="22"/>
              </w:rPr>
              <w:drawing>
                <wp:inline distT="0" distB="0" distL="0" distR="0">
                  <wp:extent cx="114300" cy="114300"/>
                  <wp:effectExtent l="19050" t="0" r="0" b="0"/>
                  <wp:docPr id="4" name="Picture 4" descr="http://static.lobbytools.com/images/ico_dele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tatic.lobbytools.com/images/ico_delete.gif">
                            <a:hlinkClick r:id="rId13"/>
                          </pic:cNvPr>
                          <pic:cNvPicPr>
                            <a:picLocks noChangeAspect="1" noChangeArrowheads="1"/>
                          </pic:cNvPicPr>
                        </pic:nvPicPr>
                        <pic:blipFill>
                          <a:blip r:embed="rId11"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p>
        </w:tc>
      </w:tr>
      <w:tr w:rsidR="003D46FD">
        <w:trPr>
          <w:tblCellSpacing w:w="0" w:type="dxa"/>
          <w:jc w:val="center"/>
        </w:trPr>
        <w:tc>
          <w:tcPr>
            <w:tcW w:w="0" w:type="auto"/>
            <w:tcMar>
              <w:top w:w="20" w:type="dxa"/>
              <w:left w:w="20" w:type="dxa"/>
              <w:bottom w:w="20" w:type="dxa"/>
              <w:right w:w="20" w:type="dxa"/>
            </w:tcMar>
            <w:vAlign w:val="center"/>
            <w:hideMark/>
          </w:tcPr>
          <w:p w:rsidR="003D46FD" w:rsidRPr="003D46FD" w:rsidRDefault="003D46FD">
            <w:pPr>
              <w:rPr>
                <w:rFonts w:ascii="Arial" w:hAnsi="Arial" w:cs="Arial"/>
                <w:sz w:val="22"/>
                <w:szCs w:val="22"/>
              </w:rPr>
            </w:pPr>
          </w:p>
        </w:tc>
        <w:tc>
          <w:tcPr>
            <w:tcW w:w="0" w:type="auto"/>
            <w:gridSpan w:val="6"/>
            <w:tcMar>
              <w:top w:w="20" w:type="dxa"/>
              <w:left w:w="20" w:type="dxa"/>
              <w:bottom w:w="20" w:type="dxa"/>
              <w:right w:w="20" w:type="dxa"/>
            </w:tcMar>
            <w:vAlign w:val="center"/>
            <w:hideMark/>
          </w:tcPr>
          <w:p w:rsidR="003D46FD" w:rsidRPr="003D46FD" w:rsidRDefault="003D46FD">
            <w:pPr>
              <w:rPr>
                <w:rFonts w:ascii="Arial" w:hAnsi="Arial" w:cs="Arial"/>
                <w:sz w:val="22"/>
                <w:szCs w:val="22"/>
              </w:rPr>
            </w:pPr>
            <w:r w:rsidRPr="003D46FD">
              <w:rPr>
                <w:rFonts w:ascii="Arial" w:hAnsi="Arial" w:cs="Arial"/>
                <w:sz w:val="22"/>
                <w:szCs w:val="22"/>
              </w:rPr>
              <w:t xml:space="preserve">Department of Business and Professional Regulation: Authorizes DBPR to refuse to issue or renew certain professional licenses, adopt rules relating to discipline of certain licensed professionals, &amp; transfer certain funds from Florida Building Code Administrators &amp; Inspectors Board to Florida Homeowners' Construction Recovery Fund. Effective Date: October 1, 2013 </w:t>
            </w:r>
          </w:p>
        </w:tc>
        <w:tc>
          <w:tcPr>
            <w:tcW w:w="0" w:type="auto"/>
            <w:vAlign w:val="center"/>
            <w:hideMark/>
          </w:tcPr>
          <w:p w:rsidR="003D46FD" w:rsidRPr="003D46FD" w:rsidRDefault="003D46FD">
            <w:pPr>
              <w:rPr>
                <w:sz w:val="22"/>
                <w:szCs w:val="22"/>
              </w:rPr>
            </w:pPr>
          </w:p>
        </w:tc>
      </w:tr>
      <w:tr w:rsidR="003D46FD">
        <w:trPr>
          <w:tblCellSpacing w:w="0" w:type="dxa"/>
          <w:jc w:val="center"/>
        </w:trPr>
        <w:tc>
          <w:tcPr>
            <w:tcW w:w="0" w:type="auto"/>
            <w:tcMar>
              <w:top w:w="20" w:type="dxa"/>
              <w:left w:w="20" w:type="dxa"/>
              <w:bottom w:w="20" w:type="dxa"/>
              <w:right w:w="20" w:type="dxa"/>
            </w:tcMar>
            <w:vAlign w:val="center"/>
            <w:hideMark/>
          </w:tcPr>
          <w:p w:rsidR="003D46FD" w:rsidRPr="003D46FD" w:rsidRDefault="003D46FD">
            <w:pPr>
              <w:rPr>
                <w:rFonts w:ascii="Arial" w:hAnsi="Arial" w:cs="Arial"/>
                <w:sz w:val="22"/>
                <w:szCs w:val="22"/>
              </w:rPr>
            </w:pPr>
          </w:p>
        </w:tc>
        <w:tc>
          <w:tcPr>
            <w:tcW w:w="0" w:type="auto"/>
            <w:gridSpan w:val="7"/>
            <w:tcMar>
              <w:top w:w="20" w:type="dxa"/>
              <w:left w:w="20" w:type="dxa"/>
              <w:bottom w:w="20" w:type="dxa"/>
              <w:right w:w="20" w:type="dxa"/>
            </w:tcMar>
            <w:vAlign w:val="center"/>
            <w:hideMark/>
          </w:tcPr>
          <w:tbl>
            <w:tblPr>
              <w:tblW w:w="0" w:type="auto"/>
              <w:tblCellSpacing w:w="0" w:type="dxa"/>
              <w:tblCellMar>
                <w:left w:w="0" w:type="dxa"/>
                <w:right w:w="0" w:type="dxa"/>
              </w:tblCellMar>
              <w:tblLook w:val="04A0"/>
            </w:tblPr>
            <w:tblGrid>
              <w:gridCol w:w="958"/>
              <w:gridCol w:w="1361"/>
            </w:tblGrid>
            <w:tr w:rsidR="003D46FD" w:rsidRPr="003D46FD">
              <w:trPr>
                <w:tblCellSpacing w:w="0" w:type="dxa"/>
              </w:trPr>
              <w:tc>
                <w:tcPr>
                  <w:tcW w:w="0" w:type="auto"/>
                  <w:tcMar>
                    <w:top w:w="20" w:type="dxa"/>
                    <w:left w:w="20" w:type="dxa"/>
                    <w:bottom w:w="20" w:type="dxa"/>
                    <w:right w:w="20" w:type="dxa"/>
                  </w:tcMar>
                  <w:hideMark/>
                </w:tcPr>
                <w:p w:rsidR="003D46FD" w:rsidRPr="003D46FD" w:rsidRDefault="003D46FD">
                  <w:pPr>
                    <w:rPr>
                      <w:rFonts w:ascii="Arial" w:hAnsi="Arial" w:cs="Arial"/>
                      <w:sz w:val="22"/>
                      <w:szCs w:val="22"/>
                    </w:rPr>
                  </w:pPr>
                  <w:r w:rsidRPr="003D46FD">
                    <w:rPr>
                      <w:rFonts w:ascii="Arial" w:hAnsi="Arial" w:cs="Arial"/>
                      <w:sz w:val="22"/>
                      <w:szCs w:val="22"/>
                    </w:rPr>
                    <w:t>12/20/12 </w:t>
                  </w:r>
                </w:p>
              </w:tc>
              <w:tc>
                <w:tcPr>
                  <w:tcW w:w="0" w:type="auto"/>
                  <w:tcMar>
                    <w:top w:w="20" w:type="dxa"/>
                    <w:left w:w="20" w:type="dxa"/>
                    <w:bottom w:w="20" w:type="dxa"/>
                    <w:right w:w="20" w:type="dxa"/>
                  </w:tcMar>
                  <w:vAlign w:val="center"/>
                  <w:hideMark/>
                </w:tcPr>
                <w:p w:rsidR="003D46FD" w:rsidRPr="003D46FD" w:rsidRDefault="003D46FD">
                  <w:pPr>
                    <w:rPr>
                      <w:rFonts w:ascii="Arial" w:hAnsi="Arial" w:cs="Arial"/>
                      <w:sz w:val="22"/>
                      <w:szCs w:val="22"/>
                    </w:rPr>
                  </w:pPr>
                  <w:r w:rsidRPr="003D46FD">
                    <w:rPr>
                      <w:rFonts w:ascii="Arial" w:hAnsi="Arial" w:cs="Arial"/>
                      <w:sz w:val="22"/>
                      <w:szCs w:val="22"/>
                    </w:rPr>
                    <w:t>HOUSE Filed</w:t>
                  </w:r>
                </w:p>
              </w:tc>
            </w:tr>
          </w:tbl>
          <w:p w:rsidR="003D46FD" w:rsidRPr="003D46FD" w:rsidRDefault="003D46FD">
            <w:pPr>
              <w:rPr>
                <w:rFonts w:ascii="Arial" w:hAnsi="Arial" w:cs="Arial"/>
                <w:sz w:val="22"/>
                <w:szCs w:val="22"/>
              </w:rPr>
            </w:pPr>
          </w:p>
        </w:tc>
      </w:tr>
      <w:tr w:rsidR="003D46FD">
        <w:trPr>
          <w:tblCellSpacing w:w="0" w:type="dxa"/>
          <w:jc w:val="center"/>
        </w:trPr>
        <w:tc>
          <w:tcPr>
            <w:tcW w:w="0" w:type="auto"/>
            <w:tcMar>
              <w:top w:w="20" w:type="dxa"/>
              <w:left w:w="20" w:type="dxa"/>
              <w:bottom w:w="20" w:type="dxa"/>
              <w:right w:w="20" w:type="dxa"/>
            </w:tcMar>
            <w:vAlign w:val="center"/>
            <w:hideMark/>
          </w:tcPr>
          <w:p w:rsidR="003D46FD" w:rsidRPr="003D46FD" w:rsidRDefault="003D46FD">
            <w:pPr>
              <w:rPr>
                <w:rFonts w:ascii="Arial" w:hAnsi="Arial" w:cs="Arial"/>
                <w:sz w:val="22"/>
                <w:szCs w:val="22"/>
              </w:rPr>
            </w:pPr>
          </w:p>
        </w:tc>
        <w:tc>
          <w:tcPr>
            <w:tcW w:w="0" w:type="auto"/>
            <w:gridSpan w:val="7"/>
            <w:tcMar>
              <w:top w:w="20" w:type="dxa"/>
              <w:left w:w="20" w:type="dxa"/>
              <w:bottom w:w="20" w:type="dxa"/>
              <w:right w:w="20" w:type="dxa"/>
            </w:tcMar>
            <w:vAlign w:val="center"/>
            <w:hideMark/>
          </w:tcPr>
          <w:tbl>
            <w:tblPr>
              <w:tblW w:w="0" w:type="auto"/>
              <w:tblCellSpacing w:w="0" w:type="dxa"/>
              <w:tblCellMar>
                <w:left w:w="0" w:type="dxa"/>
                <w:right w:w="0" w:type="dxa"/>
              </w:tblCellMar>
              <w:tblLook w:val="04A0"/>
            </w:tblPr>
            <w:tblGrid>
              <w:gridCol w:w="958"/>
              <w:gridCol w:w="7632"/>
            </w:tblGrid>
            <w:tr w:rsidR="003D46FD" w:rsidRPr="003D46FD">
              <w:trPr>
                <w:tblCellSpacing w:w="0" w:type="dxa"/>
              </w:trPr>
              <w:tc>
                <w:tcPr>
                  <w:tcW w:w="0" w:type="auto"/>
                  <w:tcMar>
                    <w:top w:w="20" w:type="dxa"/>
                    <w:left w:w="20" w:type="dxa"/>
                    <w:bottom w:w="20" w:type="dxa"/>
                    <w:right w:w="20" w:type="dxa"/>
                  </w:tcMar>
                  <w:hideMark/>
                </w:tcPr>
                <w:p w:rsidR="003D46FD" w:rsidRPr="003D46FD" w:rsidRDefault="003D46FD">
                  <w:pPr>
                    <w:rPr>
                      <w:rFonts w:ascii="Arial" w:hAnsi="Arial" w:cs="Arial"/>
                      <w:sz w:val="22"/>
                      <w:szCs w:val="22"/>
                    </w:rPr>
                  </w:pPr>
                  <w:r w:rsidRPr="003D46FD">
                    <w:rPr>
                      <w:rFonts w:ascii="Arial" w:hAnsi="Arial" w:cs="Arial"/>
                      <w:sz w:val="22"/>
                      <w:szCs w:val="22"/>
                    </w:rPr>
                    <w:t>01/11/13 </w:t>
                  </w:r>
                </w:p>
              </w:tc>
              <w:tc>
                <w:tcPr>
                  <w:tcW w:w="0" w:type="auto"/>
                  <w:tcMar>
                    <w:top w:w="20" w:type="dxa"/>
                    <w:left w:w="20" w:type="dxa"/>
                    <w:bottom w:w="20" w:type="dxa"/>
                    <w:right w:w="20" w:type="dxa"/>
                  </w:tcMar>
                  <w:vAlign w:val="center"/>
                  <w:hideMark/>
                </w:tcPr>
                <w:p w:rsidR="003D46FD" w:rsidRPr="003D46FD" w:rsidRDefault="003D46FD">
                  <w:pPr>
                    <w:rPr>
                      <w:rFonts w:ascii="Arial" w:hAnsi="Arial" w:cs="Arial"/>
                      <w:sz w:val="22"/>
                      <w:szCs w:val="22"/>
                    </w:rPr>
                  </w:pPr>
                  <w:r w:rsidRPr="003D46FD">
                    <w:rPr>
                      <w:rFonts w:ascii="Arial" w:hAnsi="Arial" w:cs="Arial"/>
                      <w:sz w:val="22"/>
                      <w:szCs w:val="22"/>
                    </w:rPr>
                    <w:t xml:space="preserve">HOUSE Referred to Business &amp; Professional Regulation Subcommittee; Government Operations Appropriations Subcommittee; Regulatory Affairs Committee </w:t>
                  </w:r>
                </w:p>
              </w:tc>
            </w:tr>
          </w:tbl>
          <w:p w:rsidR="003D46FD" w:rsidRPr="003D46FD" w:rsidRDefault="003D46FD">
            <w:pPr>
              <w:rPr>
                <w:rFonts w:ascii="Arial" w:hAnsi="Arial" w:cs="Arial"/>
                <w:sz w:val="22"/>
                <w:szCs w:val="22"/>
              </w:rPr>
            </w:pPr>
          </w:p>
        </w:tc>
      </w:tr>
      <w:tr w:rsidR="003D46FD">
        <w:trPr>
          <w:tblCellSpacing w:w="0" w:type="dxa"/>
          <w:jc w:val="center"/>
        </w:trPr>
        <w:tc>
          <w:tcPr>
            <w:tcW w:w="0" w:type="auto"/>
            <w:tcMar>
              <w:top w:w="20" w:type="dxa"/>
              <w:left w:w="20" w:type="dxa"/>
              <w:bottom w:w="20" w:type="dxa"/>
              <w:right w:w="20" w:type="dxa"/>
            </w:tcMar>
            <w:vAlign w:val="center"/>
            <w:hideMark/>
          </w:tcPr>
          <w:p w:rsidR="003D46FD" w:rsidRPr="003D46FD" w:rsidRDefault="003D46FD">
            <w:pPr>
              <w:rPr>
                <w:rFonts w:ascii="Arial" w:hAnsi="Arial" w:cs="Arial"/>
                <w:sz w:val="22"/>
                <w:szCs w:val="22"/>
              </w:rPr>
            </w:pPr>
          </w:p>
        </w:tc>
        <w:tc>
          <w:tcPr>
            <w:tcW w:w="0" w:type="auto"/>
            <w:gridSpan w:val="7"/>
            <w:tcMar>
              <w:top w:w="20" w:type="dxa"/>
              <w:left w:w="20" w:type="dxa"/>
              <w:bottom w:w="20" w:type="dxa"/>
              <w:right w:w="20" w:type="dxa"/>
            </w:tcMar>
            <w:vAlign w:val="center"/>
            <w:hideMark/>
          </w:tcPr>
          <w:tbl>
            <w:tblPr>
              <w:tblW w:w="0" w:type="auto"/>
              <w:tblCellSpacing w:w="0" w:type="dxa"/>
              <w:tblCellMar>
                <w:left w:w="0" w:type="dxa"/>
                <w:right w:w="0" w:type="dxa"/>
              </w:tblCellMar>
              <w:tblLook w:val="04A0"/>
            </w:tblPr>
            <w:tblGrid>
              <w:gridCol w:w="958"/>
              <w:gridCol w:w="6570"/>
            </w:tblGrid>
            <w:tr w:rsidR="003D46FD" w:rsidRPr="003D46FD">
              <w:trPr>
                <w:tblCellSpacing w:w="0" w:type="dxa"/>
              </w:trPr>
              <w:tc>
                <w:tcPr>
                  <w:tcW w:w="0" w:type="auto"/>
                  <w:tcMar>
                    <w:top w:w="20" w:type="dxa"/>
                    <w:left w:w="20" w:type="dxa"/>
                    <w:bottom w:w="20" w:type="dxa"/>
                    <w:right w:w="20" w:type="dxa"/>
                  </w:tcMar>
                  <w:hideMark/>
                </w:tcPr>
                <w:p w:rsidR="003D46FD" w:rsidRPr="003D46FD" w:rsidRDefault="003D46FD">
                  <w:pPr>
                    <w:rPr>
                      <w:rFonts w:ascii="Arial" w:hAnsi="Arial" w:cs="Arial"/>
                      <w:sz w:val="22"/>
                      <w:szCs w:val="22"/>
                    </w:rPr>
                  </w:pPr>
                  <w:r w:rsidRPr="003D46FD">
                    <w:rPr>
                      <w:rFonts w:ascii="Arial" w:hAnsi="Arial" w:cs="Arial"/>
                      <w:sz w:val="22"/>
                      <w:szCs w:val="22"/>
                    </w:rPr>
                    <w:t>01/11/13 </w:t>
                  </w:r>
                </w:p>
              </w:tc>
              <w:tc>
                <w:tcPr>
                  <w:tcW w:w="0" w:type="auto"/>
                  <w:tcMar>
                    <w:top w:w="20" w:type="dxa"/>
                    <w:left w:w="20" w:type="dxa"/>
                    <w:bottom w:w="20" w:type="dxa"/>
                    <w:right w:w="20" w:type="dxa"/>
                  </w:tcMar>
                  <w:vAlign w:val="center"/>
                  <w:hideMark/>
                </w:tcPr>
                <w:p w:rsidR="003D46FD" w:rsidRPr="003D46FD" w:rsidRDefault="003D46FD">
                  <w:pPr>
                    <w:rPr>
                      <w:rFonts w:ascii="Arial" w:hAnsi="Arial" w:cs="Arial"/>
                      <w:sz w:val="22"/>
                      <w:szCs w:val="22"/>
                    </w:rPr>
                  </w:pPr>
                  <w:r w:rsidRPr="003D46FD">
                    <w:rPr>
                      <w:rFonts w:ascii="Arial" w:hAnsi="Arial" w:cs="Arial"/>
                      <w:sz w:val="22"/>
                      <w:szCs w:val="22"/>
                    </w:rPr>
                    <w:t>HOUSE Now in Business &amp; Professional Regulation Subcommittee</w:t>
                  </w:r>
                </w:p>
              </w:tc>
            </w:tr>
            <w:tr w:rsidR="003D46FD" w:rsidRPr="003D46FD">
              <w:trPr>
                <w:tblCellSpacing w:w="0" w:type="dxa"/>
              </w:trPr>
              <w:tc>
                <w:tcPr>
                  <w:tcW w:w="0" w:type="auto"/>
                  <w:tcMar>
                    <w:top w:w="20" w:type="dxa"/>
                    <w:left w:w="20" w:type="dxa"/>
                    <w:bottom w:w="20" w:type="dxa"/>
                    <w:right w:w="20" w:type="dxa"/>
                  </w:tcMar>
                  <w:hideMark/>
                </w:tcPr>
                <w:p w:rsidR="003D46FD" w:rsidRDefault="003D46FD">
                  <w:pPr>
                    <w:rPr>
                      <w:rFonts w:ascii="Arial" w:hAnsi="Arial" w:cs="Arial"/>
                      <w:sz w:val="22"/>
                      <w:szCs w:val="22"/>
                    </w:rPr>
                  </w:pPr>
                </w:p>
                <w:p w:rsidR="003D46FD" w:rsidRPr="003D46FD" w:rsidRDefault="003D46FD">
                  <w:pPr>
                    <w:rPr>
                      <w:rFonts w:ascii="Arial" w:hAnsi="Arial" w:cs="Arial"/>
                      <w:sz w:val="22"/>
                      <w:szCs w:val="22"/>
                    </w:rPr>
                  </w:pPr>
                </w:p>
              </w:tc>
              <w:tc>
                <w:tcPr>
                  <w:tcW w:w="0" w:type="auto"/>
                  <w:tcMar>
                    <w:top w:w="20" w:type="dxa"/>
                    <w:left w:w="20" w:type="dxa"/>
                    <w:bottom w:w="20" w:type="dxa"/>
                    <w:right w:w="20" w:type="dxa"/>
                  </w:tcMar>
                  <w:vAlign w:val="center"/>
                  <w:hideMark/>
                </w:tcPr>
                <w:p w:rsidR="003D46FD" w:rsidRPr="003D46FD" w:rsidRDefault="003D46FD">
                  <w:pPr>
                    <w:rPr>
                      <w:rFonts w:ascii="Arial" w:hAnsi="Arial" w:cs="Arial"/>
                      <w:sz w:val="22"/>
                      <w:szCs w:val="22"/>
                    </w:rPr>
                  </w:pPr>
                </w:p>
              </w:tc>
            </w:tr>
          </w:tbl>
          <w:p w:rsidR="003D46FD" w:rsidRPr="003D46FD" w:rsidRDefault="003D46FD">
            <w:pPr>
              <w:rPr>
                <w:rFonts w:ascii="Arial" w:hAnsi="Arial" w:cs="Arial"/>
                <w:sz w:val="22"/>
                <w:szCs w:val="22"/>
              </w:rPr>
            </w:pPr>
          </w:p>
        </w:tc>
      </w:tr>
      <w:tr w:rsidR="003D46FD">
        <w:trPr>
          <w:tblCellSpacing w:w="0" w:type="dxa"/>
          <w:jc w:val="center"/>
        </w:trPr>
        <w:tc>
          <w:tcPr>
            <w:tcW w:w="0" w:type="auto"/>
            <w:tcBorders>
              <w:top w:val="single" w:sz="4" w:space="0" w:color="000000"/>
            </w:tcBorders>
            <w:shd w:val="clear" w:color="auto" w:fill="EEEEEE"/>
            <w:tcMar>
              <w:top w:w="20" w:type="dxa"/>
              <w:left w:w="20" w:type="dxa"/>
              <w:bottom w:w="20" w:type="dxa"/>
              <w:right w:w="20" w:type="dxa"/>
            </w:tcMar>
            <w:vAlign w:val="center"/>
            <w:hideMark/>
          </w:tcPr>
          <w:p w:rsidR="003D46FD" w:rsidRPr="003D46FD" w:rsidRDefault="003D46FD">
            <w:pPr>
              <w:rPr>
                <w:rFonts w:ascii="Arial" w:hAnsi="Arial" w:cs="Arial"/>
                <w:sz w:val="22"/>
                <w:szCs w:val="22"/>
              </w:rPr>
            </w:pPr>
            <w:r w:rsidRPr="00BA2D07">
              <w:rPr>
                <w:rFonts w:ascii="Arial" w:hAnsi="Arial" w:cs="Arial"/>
                <w:sz w:val="22"/>
                <w:szCs w:val="22"/>
              </w:rPr>
              <w:t>HB 0063</w:t>
            </w:r>
          </w:p>
        </w:tc>
        <w:tc>
          <w:tcPr>
            <w:tcW w:w="0" w:type="auto"/>
            <w:tcBorders>
              <w:top w:val="single" w:sz="4" w:space="0" w:color="000000"/>
            </w:tcBorders>
            <w:shd w:val="clear" w:color="auto" w:fill="EEEEEE"/>
            <w:tcMar>
              <w:top w:w="20" w:type="dxa"/>
              <w:left w:w="20" w:type="dxa"/>
              <w:bottom w:w="20" w:type="dxa"/>
              <w:right w:w="20" w:type="dxa"/>
            </w:tcMar>
            <w:vAlign w:val="center"/>
            <w:hideMark/>
          </w:tcPr>
          <w:p w:rsidR="003D46FD" w:rsidRPr="003D46FD" w:rsidRDefault="003D46FD">
            <w:pPr>
              <w:rPr>
                <w:rFonts w:ascii="Arial" w:hAnsi="Arial" w:cs="Arial"/>
                <w:b/>
                <w:bCs/>
                <w:sz w:val="22"/>
                <w:szCs w:val="22"/>
              </w:rPr>
            </w:pPr>
            <w:r w:rsidRPr="003D46FD">
              <w:rPr>
                <w:rFonts w:ascii="Arial" w:hAnsi="Arial" w:cs="Arial"/>
                <w:b/>
                <w:bCs/>
                <w:sz w:val="22"/>
                <w:szCs w:val="22"/>
              </w:rPr>
              <w:t>Relating to Carbon Monoxide Alarms</w:t>
            </w:r>
          </w:p>
        </w:tc>
        <w:tc>
          <w:tcPr>
            <w:tcW w:w="0" w:type="auto"/>
            <w:tcBorders>
              <w:top w:val="single" w:sz="4" w:space="0" w:color="000000"/>
            </w:tcBorders>
            <w:shd w:val="clear" w:color="auto" w:fill="EEEEEE"/>
            <w:tcMar>
              <w:top w:w="20" w:type="dxa"/>
              <w:left w:w="20" w:type="dxa"/>
              <w:bottom w:w="20" w:type="dxa"/>
              <w:right w:w="20" w:type="dxa"/>
            </w:tcMar>
            <w:vAlign w:val="center"/>
            <w:hideMark/>
          </w:tcPr>
          <w:p w:rsidR="003D46FD" w:rsidRPr="003D46FD" w:rsidRDefault="003D46FD">
            <w:pPr>
              <w:rPr>
                <w:rFonts w:ascii="Arial" w:hAnsi="Arial" w:cs="Arial"/>
                <w:sz w:val="22"/>
                <w:szCs w:val="22"/>
              </w:rPr>
            </w:pPr>
            <w:r w:rsidRPr="00BA2D07">
              <w:rPr>
                <w:rFonts w:ascii="Arial" w:hAnsi="Arial" w:cs="Arial"/>
                <w:sz w:val="22"/>
                <w:szCs w:val="22"/>
              </w:rPr>
              <w:t>Richardson</w:t>
            </w:r>
            <w:r w:rsidRPr="003D46FD">
              <w:rPr>
                <w:rFonts w:ascii="Arial" w:hAnsi="Arial" w:cs="Arial"/>
                <w:sz w:val="22"/>
                <w:szCs w:val="22"/>
              </w:rPr>
              <w:t xml:space="preserve"> </w:t>
            </w:r>
          </w:p>
        </w:tc>
        <w:tc>
          <w:tcPr>
            <w:tcW w:w="0" w:type="auto"/>
            <w:tcBorders>
              <w:top w:val="single" w:sz="4" w:space="0" w:color="000000"/>
            </w:tcBorders>
            <w:shd w:val="clear" w:color="auto" w:fill="EEEEEE"/>
            <w:tcMar>
              <w:top w:w="20" w:type="dxa"/>
              <w:left w:w="20" w:type="dxa"/>
              <w:bottom w:w="20" w:type="dxa"/>
              <w:right w:w="20" w:type="dxa"/>
            </w:tcMar>
            <w:vAlign w:val="center"/>
            <w:hideMark/>
          </w:tcPr>
          <w:p w:rsidR="003D46FD" w:rsidRPr="003D46FD" w:rsidRDefault="003D46FD">
            <w:pPr>
              <w:rPr>
                <w:rFonts w:ascii="Arial" w:hAnsi="Arial" w:cs="Arial"/>
                <w:sz w:val="22"/>
                <w:szCs w:val="22"/>
              </w:rPr>
            </w:pPr>
            <w:r w:rsidRPr="003D46FD">
              <w:rPr>
                <w:rFonts w:ascii="Arial" w:hAnsi="Arial" w:cs="Arial"/>
                <w:sz w:val="22"/>
                <w:szCs w:val="22"/>
              </w:rPr>
              <w:t>01/11/13</w:t>
            </w:r>
          </w:p>
        </w:tc>
        <w:tc>
          <w:tcPr>
            <w:tcW w:w="0" w:type="auto"/>
            <w:tcBorders>
              <w:top w:val="single" w:sz="4" w:space="0" w:color="000000"/>
            </w:tcBorders>
            <w:shd w:val="clear" w:color="auto" w:fill="EEEEEE"/>
            <w:tcMar>
              <w:top w:w="20" w:type="dxa"/>
              <w:left w:w="20" w:type="dxa"/>
              <w:bottom w:w="20" w:type="dxa"/>
              <w:right w:w="20" w:type="dxa"/>
            </w:tcMar>
            <w:vAlign w:val="center"/>
            <w:hideMark/>
          </w:tcPr>
          <w:p w:rsidR="003D46FD" w:rsidRPr="003D46FD" w:rsidRDefault="00B65B83">
            <w:pPr>
              <w:rPr>
                <w:rFonts w:ascii="Arial" w:hAnsi="Arial" w:cs="Arial"/>
                <w:sz w:val="22"/>
                <w:szCs w:val="22"/>
              </w:rPr>
            </w:pPr>
            <w:r w:rsidRPr="00B65B83">
              <w:rPr>
                <w:rFonts w:ascii="Arial" w:hAnsi="Arial" w:cs="Arial"/>
              </w:rPr>
              <w:pict>
                <v:shape id="_x0000_i1028" type="#_x0000_t75" style="width:16.5pt;height:14pt">
                  <v:imagedata r:id="rId7" o:title=""/>
                </v:shape>
              </w:pict>
            </w:r>
          </w:p>
        </w:tc>
        <w:tc>
          <w:tcPr>
            <w:tcW w:w="0" w:type="auto"/>
            <w:tcBorders>
              <w:top w:val="single" w:sz="4" w:space="0" w:color="000000"/>
            </w:tcBorders>
            <w:shd w:val="clear" w:color="auto" w:fill="EEEEEE"/>
            <w:tcMar>
              <w:top w:w="20" w:type="dxa"/>
              <w:left w:w="20" w:type="dxa"/>
              <w:bottom w:w="20" w:type="dxa"/>
              <w:right w:w="20" w:type="dxa"/>
            </w:tcMar>
            <w:vAlign w:val="center"/>
            <w:hideMark/>
          </w:tcPr>
          <w:p w:rsidR="003D46FD" w:rsidRPr="003D46FD" w:rsidRDefault="003D46FD">
            <w:pPr>
              <w:rPr>
                <w:rFonts w:ascii="Arial" w:hAnsi="Arial" w:cs="Arial"/>
                <w:sz w:val="22"/>
                <w:szCs w:val="22"/>
              </w:rPr>
            </w:pPr>
            <w:r w:rsidRPr="003D46FD">
              <w:rPr>
                <w:rFonts w:ascii="Arial" w:hAnsi="Arial" w:cs="Arial"/>
                <w:sz w:val="22"/>
                <w:szCs w:val="22"/>
              </w:rPr>
              <w:t> </w:t>
            </w:r>
          </w:p>
        </w:tc>
        <w:tc>
          <w:tcPr>
            <w:tcW w:w="0" w:type="auto"/>
            <w:tcBorders>
              <w:top w:val="single" w:sz="4" w:space="0" w:color="000000"/>
            </w:tcBorders>
            <w:shd w:val="clear" w:color="auto" w:fill="EEEEEE"/>
            <w:tcMar>
              <w:top w:w="20" w:type="dxa"/>
              <w:left w:w="20" w:type="dxa"/>
              <w:bottom w:w="20" w:type="dxa"/>
              <w:right w:w="20" w:type="dxa"/>
            </w:tcMar>
            <w:vAlign w:val="center"/>
            <w:hideMark/>
          </w:tcPr>
          <w:p w:rsidR="003D46FD" w:rsidRPr="003D46FD" w:rsidRDefault="003D46FD">
            <w:pPr>
              <w:jc w:val="center"/>
              <w:rPr>
                <w:rFonts w:ascii="Arial" w:hAnsi="Arial" w:cs="Arial"/>
                <w:sz w:val="22"/>
                <w:szCs w:val="22"/>
              </w:rPr>
            </w:pPr>
            <w:r w:rsidRPr="003D46FD">
              <w:rPr>
                <w:rFonts w:ascii="Arial" w:hAnsi="Arial" w:cs="Arial"/>
                <w:noProof/>
                <w:color w:val="003366"/>
                <w:sz w:val="22"/>
                <w:szCs w:val="22"/>
              </w:rPr>
              <w:drawing>
                <wp:inline distT="0" distB="0" distL="0" distR="0">
                  <wp:extent cx="133350" cy="133350"/>
                  <wp:effectExtent l="19050" t="0" r="0" b="0"/>
                  <wp:docPr id="5" name="Picture 5" descr="ADD 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DD NOTE">
                            <a:hlinkClick r:id="rId14"/>
                          </pic:cNvPr>
                          <pic:cNvPicPr>
                            <a:picLocks noChangeAspect="1" noChangeArrowheads="1"/>
                          </pic:cNvPicPr>
                        </pic:nvPicPr>
                        <pic:blipFill>
                          <a:blip r:embed="rId9"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p>
        </w:tc>
        <w:tc>
          <w:tcPr>
            <w:tcW w:w="0" w:type="auto"/>
            <w:tcBorders>
              <w:top w:val="single" w:sz="4" w:space="0" w:color="000000"/>
            </w:tcBorders>
            <w:shd w:val="clear" w:color="auto" w:fill="EEEEEE"/>
            <w:tcMar>
              <w:top w:w="20" w:type="dxa"/>
              <w:left w:w="20" w:type="dxa"/>
              <w:bottom w:w="20" w:type="dxa"/>
              <w:right w:w="20" w:type="dxa"/>
            </w:tcMar>
            <w:vAlign w:val="center"/>
            <w:hideMark/>
          </w:tcPr>
          <w:p w:rsidR="003D46FD" w:rsidRPr="003D46FD" w:rsidRDefault="003D46FD">
            <w:pPr>
              <w:jc w:val="center"/>
              <w:rPr>
                <w:rFonts w:ascii="Arial" w:hAnsi="Arial" w:cs="Arial"/>
                <w:sz w:val="22"/>
                <w:szCs w:val="22"/>
              </w:rPr>
            </w:pPr>
            <w:r w:rsidRPr="003D46FD">
              <w:rPr>
                <w:rFonts w:ascii="Arial" w:hAnsi="Arial" w:cs="Arial"/>
                <w:noProof/>
                <w:color w:val="003366"/>
                <w:sz w:val="22"/>
                <w:szCs w:val="22"/>
              </w:rPr>
              <w:drawing>
                <wp:inline distT="0" distB="0" distL="0" distR="0">
                  <wp:extent cx="114300" cy="114300"/>
                  <wp:effectExtent l="19050" t="0" r="0" b="0"/>
                  <wp:docPr id="6" name="Picture 6" descr="http://static.lobbytools.com/images/ico_dele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tatic.lobbytools.com/images/ico_delete.gif">
                            <a:hlinkClick r:id="rId15"/>
                          </pic:cNvPr>
                          <pic:cNvPicPr>
                            <a:picLocks noChangeAspect="1" noChangeArrowheads="1"/>
                          </pic:cNvPicPr>
                        </pic:nvPicPr>
                        <pic:blipFill>
                          <a:blip r:embed="rId11"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p>
        </w:tc>
      </w:tr>
      <w:tr w:rsidR="003D46FD">
        <w:trPr>
          <w:tblCellSpacing w:w="0" w:type="dxa"/>
          <w:jc w:val="center"/>
        </w:trPr>
        <w:tc>
          <w:tcPr>
            <w:tcW w:w="0" w:type="auto"/>
            <w:tcMar>
              <w:top w:w="20" w:type="dxa"/>
              <w:left w:w="20" w:type="dxa"/>
              <w:bottom w:w="20" w:type="dxa"/>
              <w:right w:w="20" w:type="dxa"/>
            </w:tcMar>
            <w:vAlign w:val="center"/>
            <w:hideMark/>
          </w:tcPr>
          <w:p w:rsidR="003D46FD" w:rsidRPr="003D46FD" w:rsidRDefault="003D46FD">
            <w:pPr>
              <w:rPr>
                <w:rFonts w:ascii="Arial" w:hAnsi="Arial" w:cs="Arial"/>
                <w:sz w:val="22"/>
                <w:szCs w:val="22"/>
              </w:rPr>
            </w:pPr>
            <w:r w:rsidRPr="003D46FD">
              <w:rPr>
                <w:rFonts w:ascii="Arial" w:hAnsi="Arial" w:cs="Arial"/>
                <w:sz w:val="22"/>
                <w:szCs w:val="22"/>
              </w:rPr>
              <w:t>(</w:t>
            </w:r>
            <w:r w:rsidRPr="003D46FD">
              <w:rPr>
                <w:rFonts w:ascii="Arial" w:hAnsi="Arial" w:cs="Arial"/>
                <w:b/>
                <w:bCs/>
                <w:sz w:val="22"/>
                <w:szCs w:val="22"/>
              </w:rPr>
              <w:t>I:</w:t>
            </w:r>
            <w:r w:rsidRPr="003D46FD">
              <w:rPr>
                <w:rFonts w:ascii="Arial" w:hAnsi="Arial" w:cs="Arial"/>
                <w:sz w:val="22"/>
                <w:szCs w:val="22"/>
              </w:rPr>
              <w:t xml:space="preserve"> </w:t>
            </w:r>
            <w:r w:rsidRPr="00BA2D07">
              <w:rPr>
                <w:rFonts w:ascii="Arial" w:hAnsi="Arial" w:cs="Arial"/>
                <w:sz w:val="22"/>
                <w:szCs w:val="22"/>
              </w:rPr>
              <w:t>0116</w:t>
            </w:r>
            <w:r w:rsidRPr="003D46FD">
              <w:rPr>
                <w:rFonts w:ascii="Arial" w:hAnsi="Arial" w:cs="Arial"/>
                <w:sz w:val="22"/>
                <w:szCs w:val="22"/>
              </w:rPr>
              <w:t xml:space="preserve"> )</w:t>
            </w:r>
          </w:p>
        </w:tc>
        <w:tc>
          <w:tcPr>
            <w:tcW w:w="0" w:type="auto"/>
            <w:gridSpan w:val="6"/>
            <w:tcMar>
              <w:top w:w="20" w:type="dxa"/>
              <w:left w:w="20" w:type="dxa"/>
              <w:bottom w:w="20" w:type="dxa"/>
              <w:right w:w="20" w:type="dxa"/>
            </w:tcMar>
            <w:vAlign w:val="center"/>
            <w:hideMark/>
          </w:tcPr>
          <w:p w:rsidR="003D46FD" w:rsidRPr="003D46FD" w:rsidRDefault="003D46FD">
            <w:pPr>
              <w:rPr>
                <w:rFonts w:ascii="Arial" w:hAnsi="Arial" w:cs="Arial"/>
                <w:sz w:val="22"/>
                <w:szCs w:val="22"/>
              </w:rPr>
            </w:pPr>
            <w:r w:rsidRPr="003D46FD">
              <w:rPr>
                <w:rFonts w:ascii="Arial" w:hAnsi="Arial" w:cs="Arial"/>
                <w:sz w:val="22"/>
                <w:szCs w:val="22"/>
              </w:rPr>
              <w:t>Carbon Monoxide Alarms: Directs DOE to require K-12 public school facilities to install carbon monoxide alarms. Effective Date: July 1, 2013</w:t>
            </w:r>
          </w:p>
        </w:tc>
        <w:tc>
          <w:tcPr>
            <w:tcW w:w="0" w:type="auto"/>
            <w:vAlign w:val="center"/>
            <w:hideMark/>
          </w:tcPr>
          <w:p w:rsidR="003D46FD" w:rsidRPr="003D46FD" w:rsidRDefault="003D46FD">
            <w:pPr>
              <w:rPr>
                <w:sz w:val="22"/>
                <w:szCs w:val="22"/>
              </w:rPr>
            </w:pPr>
          </w:p>
        </w:tc>
      </w:tr>
      <w:tr w:rsidR="003D46FD">
        <w:trPr>
          <w:tblCellSpacing w:w="0" w:type="dxa"/>
          <w:jc w:val="center"/>
        </w:trPr>
        <w:tc>
          <w:tcPr>
            <w:tcW w:w="0" w:type="auto"/>
            <w:tcMar>
              <w:top w:w="20" w:type="dxa"/>
              <w:left w:w="20" w:type="dxa"/>
              <w:bottom w:w="20" w:type="dxa"/>
              <w:right w:w="20" w:type="dxa"/>
            </w:tcMar>
            <w:vAlign w:val="center"/>
            <w:hideMark/>
          </w:tcPr>
          <w:p w:rsidR="003D46FD" w:rsidRPr="003D46FD" w:rsidRDefault="003D46FD">
            <w:pPr>
              <w:rPr>
                <w:rFonts w:ascii="Arial" w:hAnsi="Arial" w:cs="Arial"/>
                <w:sz w:val="22"/>
                <w:szCs w:val="22"/>
              </w:rPr>
            </w:pPr>
          </w:p>
        </w:tc>
        <w:tc>
          <w:tcPr>
            <w:tcW w:w="0" w:type="auto"/>
            <w:gridSpan w:val="7"/>
            <w:tcMar>
              <w:top w:w="20" w:type="dxa"/>
              <w:left w:w="20" w:type="dxa"/>
              <w:bottom w:w="20" w:type="dxa"/>
              <w:right w:w="20" w:type="dxa"/>
            </w:tcMar>
            <w:vAlign w:val="center"/>
            <w:hideMark/>
          </w:tcPr>
          <w:tbl>
            <w:tblPr>
              <w:tblW w:w="0" w:type="auto"/>
              <w:tblCellSpacing w:w="0" w:type="dxa"/>
              <w:tblCellMar>
                <w:left w:w="0" w:type="dxa"/>
                <w:right w:w="0" w:type="dxa"/>
              </w:tblCellMar>
              <w:tblLook w:val="04A0"/>
            </w:tblPr>
            <w:tblGrid>
              <w:gridCol w:w="958"/>
              <w:gridCol w:w="1361"/>
            </w:tblGrid>
            <w:tr w:rsidR="003D46FD" w:rsidRPr="003D46FD">
              <w:trPr>
                <w:tblCellSpacing w:w="0" w:type="dxa"/>
              </w:trPr>
              <w:tc>
                <w:tcPr>
                  <w:tcW w:w="0" w:type="auto"/>
                  <w:tcMar>
                    <w:top w:w="20" w:type="dxa"/>
                    <w:left w:w="20" w:type="dxa"/>
                    <w:bottom w:w="20" w:type="dxa"/>
                    <w:right w:w="20" w:type="dxa"/>
                  </w:tcMar>
                  <w:hideMark/>
                </w:tcPr>
                <w:p w:rsidR="003D46FD" w:rsidRPr="003D46FD" w:rsidRDefault="003D46FD">
                  <w:pPr>
                    <w:rPr>
                      <w:rFonts w:ascii="Arial" w:hAnsi="Arial" w:cs="Arial"/>
                      <w:sz w:val="22"/>
                      <w:szCs w:val="22"/>
                    </w:rPr>
                  </w:pPr>
                  <w:r w:rsidRPr="003D46FD">
                    <w:rPr>
                      <w:rFonts w:ascii="Arial" w:hAnsi="Arial" w:cs="Arial"/>
                      <w:sz w:val="22"/>
                      <w:szCs w:val="22"/>
                    </w:rPr>
                    <w:t>12/21/12 </w:t>
                  </w:r>
                </w:p>
              </w:tc>
              <w:tc>
                <w:tcPr>
                  <w:tcW w:w="0" w:type="auto"/>
                  <w:tcMar>
                    <w:top w:w="20" w:type="dxa"/>
                    <w:left w:w="20" w:type="dxa"/>
                    <w:bottom w:w="20" w:type="dxa"/>
                    <w:right w:w="20" w:type="dxa"/>
                  </w:tcMar>
                  <w:vAlign w:val="center"/>
                  <w:hideMark/>
                </w:tcPr>
                <w:p w:rsidR="003D46FD" w:rsidRPr="003D46FD" w:rsidRDefault="003D46FD">
                  <w:pPr>
                    <w:rPr>
                      <w:rFonts w:ascii="Arial" w:hAnsi="Arial" w:cs="Arial"/>
                      <w:sz w:val="22"/>
                      <w:szCs w:val="22"/>
                    </w:rPr>
                  </w:pPr>
                  <w:r w:rsidRPr="003D46FD">
                    <w:rPr>
                      <w:rFonts w:ascii="Arial" w:hAnsi="Arial" w:cs="Arial"/>
                      <w:sz w:val="22"/>
                      <w:szCs w:val="22"/>
                    </w:rPr>
                    <w:t>HOUSE Filed</w:t>
                  </w:r>
                </w:p>
              </w:tc>
            </w:tr>
          </w:tbl>
          <w:p w:rsidR="003D46FD" w:rsidRPr="003D46FD" w:rsidRDefault="003D46FD">
            <w:pPr>
              <w:rPr>
                <w:rFonts w:ascii="Arial" w:hAnsi="Arial" w:cs="Arial"/>
                <w:sz w:val="22"/>
                <w:szCs w:val="22"/>
              </w:rPr>
            </w:pPr>
          </w:p>
        </w:tc>
      </w:tr>
      <w:tr w:rsidR="003D46FD">
        <w:trPr>
          <w:tblCellSpacing w:w="0" w:type="dxa"/>
          <w:jc w:val="center"/>
        </w:trPr>
        <w:tc>
          <w:tcPr>
            <w:tcW w:w="0" w:type="auto"/>
            <w:tcMar>
              <w:top w:w="20" w:type="dxa"/>
              <w:left w:w="20" w:type="dxa"/>
              <w:bottom w:w="20" w:type="dxa"/>
              <w:right w:w="20" w:type="dxa"/>
            </w:tcMar>
            <w:vAlign w:val="center"/>
            <w:hideMark/>
          </w:tcPr>
          <w:p w:rsidR="003D46FD" w:rsidRPr="003D46FD" w:rsidRDefault="003D46FD">
            <w:pPr>
              <w:rPr>
                <w:rFonts w:ascii="Arial" w:hAnsi="Arial" w:cs="Arial"/>
                <w:sz w:val="22"/>
                <w:szCs w:val="22"/>
              </w:rPr>
            </w:pPr>
          </w:p>
        </w:tc>
        <w:tc>
          <w:tcPr>
            <w:tcW w:w="0" w:type="auto"/>
            <w:gridSpan w:val="7"/>
            <w:tcMar>
              <w:top w:w="20" w:type="dxa"/>
              <w:left w:w="20" w:type="dxa"/>
              <w:bottom w:w="20" w:type="dxa"/>
              <w:right w:w="20" w:type="dxa"/>
            </w:tcMar>
            <w:vAlign w:val="center"/>
            <w:hideMark/>
          </w:tcPr>
          <w:tbl>
            <w:tblPr>
              <w:tblW w:w="0" w:type="auto"/>
              <w:tblCellSpacing w:w="0" w:type="dxa"/>
              <w:tblCellMar>
                <w:left w:w="0" w:type="dxa"/>
                <w:right w:w="0" w:type="dxa"/>
              </w:tblCellMar>
              <w:tblLook w:val="04A0"/>
            </w:tblPr>
            <w:tblGrid>
              <w:gridCol w:w="958"/>
              <w:gridCol w:w="7632"/>
            </w:tblGrid>
            <w:tr w:rsidR="003D46FD" w:rsidRPr="003D46FD">
              <w:trPr>
                <w:tblCellSpacing w:w="0" w:type="dxa"/>
              </w:trPr>
              <w:tc>
                <w:tcPr>
                  <w:tcW w:w="0" w:type="auto"/>
                  <w:tcMar>
                    <w:top w:w="20" w:type="dxa"/>
                    <w:left w:w="20" w:type="dxa"/>
                    <w:bottom w:w="20" w:type="dxa"/>
                    <w:right w:w="20" w:type="dxa"/>
                  </w:tcMar>
                  <w:hideMark/>
                </w:tcPr>
                <w:p w:rsidR="003D46FD" w:rsidRPr="003D46FD" w:rsidRDefault="003D46FD">
                  <w:pPr>
                    <w:rPr>
                      <w:rFonts w:ascii="Arial" w:hAnsi="Arial" w:cs="Arial"/>
                      <w:sz w:val="22"/>
                      <w:szCs w:val="22"/>
                    </w:rPr>
                  </w:pPr>
                  <w:r w:rsidRPr="003D46FD">
                    <w:rPr>
                      <w:rFonts w:ascii="Arial" w:hAnsi="Arial" w:cs="Arial"/>
                      <w:sz w:val="22"/>
                      <w:szCs w:val="22"/>
                    </w:rPr>
                    <w:t>01/11/13 </w:t>
                  </w:r>
                </w:p>
              </w:tc>
              <w:tc>
                <w:tcPr>
                  <w:tcW w:w="0" w:type="auto"/>
                  <w:tcMar>
                    <w:top w:w="20" w:type="dxa"/>
                    <w:left w:w="20" w:type="dxa"/>
                    <w:bottom w:w="20" w:type="dxa"/>
                    <w:right w:w="20" w:type="dxa"/>
                  </w:tcMar>
                  <w:vAlign w:val="center"/>
                  <w:hideMark/>
                </w:tcPr>
                <w:p w:rsidR="003D46FD" w:rsidRPr="003D46FD" w:rsidRDefault="003D46FD">
                  <w:pPr>
                    <w:rPr>
                      <w:rFonts w:ascii="Arial" w:hAnsi="Arial" w:cs="Arial"/>
                      <w:sz w:val="22"/>
                      <w:szCs w:val="22"/>
                    </w:rPr>
                  </w:pPr>
                  <w:r w:rsidRPr="003D46FD">
                    <w:rPr>
                      <w:rFonts w:ascii="Arial" w:hAnsi="Arial" w:cs="Arial"/>
                      <w:sz w:val="22"/>
                      <w:szCs w:val="22"/>
                    </w:rPr>
                    <w:t xml:space="preserve">HOUSE Referred to K-12 Subcommittee; Education Appropriations Subcommittee; Education Committee </w:t>
                  </w:r>
                </w:p>
              </w:tc>
            </w:tr>
          </w:tbl>
          <w:p w:rsidR="003D46FD" w:rsidRPr="003D46FD" w:rsidRDefault="003D46FD">
            <w:pPr>
              <w:rPr>
                <w:rFonts w:ascii="Arial" w:hAnsi="Arial" w:cs="Arial"/>
                <w:sz w:val="22"/>
                <w:szCs w:val="22"/>
              </w:rPr>
            </w:pPr>
          </w:p>
        </w:tc>
      </w:tr>
      <w:tr w:rsidR="003D46FD">
        <w:trPr>
          <w:tblCellSpacing w:w="0" w:type="dxa"/>
          <w:jc w:val="center"/>
        </w:trPr>
        <w:tc>
          <w:tcPr>
            <w:tcW w:w="0" w:type="auto"/>
            <w:tcMar>
              <w:top w:w="20" w:type="dxa"/>
              <w:left w:w="20" w:type="dxa"/>
              <w:bottom w:w="20" w:type="dxa"/>
              <w:right w:w="20" w:type="dxa"/>
            </w:tcMar>
            <w:vAlign w:val="center"/>
            <w:hideMark/>
          </w:tcPr>
          <w:p w:rsidR="003D46FD" w:rsidRPr="003D46FD" w:rsidRDefault="003D46FD">
            <w:pPr>
              <w:rPr>
                <w:rFonts w:ascii="Arial" w:hAnsi="Arial" w:cs="Arial"/>
                <w:sz w:val="22"/>
                <w:szCs w:val="22"/>
              </w:rPr>
            </w:pPr>
          </w:p>
        </w:tc>
        <w:tc>
          <w:tcPr>
            <w:tcW w:w="0" w:type="auto"/>
            <w:gridSpan w:val="7"/>
            <w:tcMar>
              <w:top w:w="20" w:type="dxa"/>
              <w:left w:w="20" w:type="dxa"/>
              <w:bottom w:w="20" w:type="dxa"/>
              <w:right w:w="20" w:type="dxa"/>
            </w:tcMar>
            <w:vAlign w:val="center"/>
            <w:hideMark/>
          </w:tcPr>
          <w:tbl>
            <w:tblPr>
              <w:tblW w:w="0" w:type="auto"/>
              <w:tblCellSpacing w:w="0" w:type="dxa"/>
              <w:tblCellMar>
                <w:left w:w="0" w:type="dxa"/>
                <w:right w:w="0" w:type="dxa"/>
              </w:tblCellMar>
              <w:tblLook w:val="04A0"/>
            </w:tblPr>
            <w:tblGrid>
              <w:gridCol w:w="958"/>
              <w:gridCol w:w="3550"/>
            </w:tblGrid>
            <w:tr w:rsidR="003D46FD" w:rsidRPr="003D46FD">
              <w:trPr>
                <w:tblCellSpacing w:w="0" w:type="dxa"/>
              </w:trPr>
              <w:tc>
                <w:tcPr>
                  <w:tcW w:w="0" w:type="auto"/>
                  <w:tcMar>
                    <w:top w:w="20" w:type="dxa"/>
                    <w:left w:w="20" w:type="dxa"/>
                    <w:bottom w:w="20" w:type="dxa"/>
                    <w:right w:w="20" w:type="dxa"/>
                  </w:tcMar>
                  <w:hideMark/>
                </w:tcPr>
                <w:p w:rsidR="003D46FD" w:rsidRPr="003D46FD" w:rsidRDefault="003D46FD">
                  <w:pPr>
                    <w:rPr>
                      <w:rFonts w:ascii="Arial" w:hAnsi="Arial" w:cs="Arial"/>
                      <w:sz w:val="22"/>
                      <w:szCs w:val="22"/>
                    </w:rPr>
                  </w:pPr>
                  <w:r w:rsidRPr="003D46FD">
                    <w:rPr>
                      <w:rFonts w:ascii="Arial" w:hAnsi="Arial" w:cs="Arial"/>
                      <w:sz w:val="22"/>
                      <w:szCs w:val="22"/>
                    </w:rPr>
                    <w:t>01/11/13 </w:t>
                  </w:r>
                </w:p>
              </w:tc>
              <w:tc>
                <w:tcPr>
                  <w:tcW w:w="0" w:type="auto"/>
                  <w:tcMar>
                    <w:top w:w="20" w:type="dxa"/>
                    <w:left w:w="20" w:type="dxa"/>
                    <w:bottom w:w="20" w:type="dxa"/>
                    <w:right w:w="20" w:type="dxa"/>
                  </w:tcMar>
                  <w:vAlign w:val="center"/>
                  <w:hideMark/>
                </w:tcPr>
                <w:p w:rsidR="003D46FD" w:rsidRPr="003D46FD" w:rsidRDefault="003D46FD">
                  <w:pPr>
                    <w:rPr>
                      <w:rFonts w:ascii="Arial" w:hAnsi="Arial" w:cs="Arial"/>
                      <w:sz w:val="22"/>
                      <w:szCs w:val="22"/>
                    </w:rPr>
                  </w:pPr>
                  <w:r w:rsidRPr="003D46FD">
                    <w:rPr>
                      <w:rFonts w:ascii="Arial" w:hAnsi="Arial" w:cs="Arial"/>
                      <w:sz w:val="22"/>
                      <w:szCs w:val="22"/>
                    </w:rPr>
                    <w:t xml:space="preserve">HOUSE Now in K-12 Subcommittee </w:t>
                  </w:r>
                </w:p>
              </w:tc>
            </w:tr>
          </w:tbl>
          <w:p w:rsidR="003D46FD" w:rsidRPr="003D46FD" w:rsidRDefault="003D46FD">
            <w:pPr>
              <w:rPr>
                <w:rFonts w:ascii="Arial" w:hAnsi="Arial" w:cs="Arial"/>
                <w:sz w:val="22"/>
                <w:szCs w:val="22"/>
              </w:rPr>
            </w:pPr>
          </w:p>
        </w:tc>
      </w:tr>
      <w:tr w:rsidR="003D46FD">
        <w:trPr>
          <w:tblCellSpacing w:w="0" w:type="dxa"/>
          <w:jc w:val="center"/>
        </w:trPr>
        <w:tc>
          <w:tcPr>
            <w:tcW w:w="0" w:type="auto"/>
            <w:tcBorders>
              <w:top w:val="single" w:sz="4" w:space="0" w:color="000000"/>
            </w:tcBorders>
            <w:shd w:val="clear" w:color="auto" w:fill="EEEEEE"/>
            <w:tcMar>
              <w:top w:w="20" w:type="dxa"/>
              <w:left w:w="20" w:type="dxa"/>
              <w:bottom w:w="20" w:type="dxa"/>
              <w:right w:w="20" w:type="dxa"/>
            </w:tcMar>
            <w:vAlign w:val="center"/>
            <w:hideMark/>
          </w:tcPr>
          <w:p w:rsidR="003D46FD" w:rsidRPr="003D46FD" w:rsidRDefault="003D46FD">
            <w:pPr>
              <w:rPr>
                <w:rFonts w:ascii="Arial" w:hAnsi="Arial" w:cs="Arial"/>
                <w:sz w:val="22"/>
                <w:szCs w:val="22"/>
              </w:rPr>
            </w:pPr>
            <w:r w:rsidRPr="00BA2D07">
              <w:rPr>
                <w:rFonts w:ascii="Arial" w:hAnsi="Arial" w:cs="Arial"/>
                <w:sz w:val="22"/>
                <w:szCs w:val="22"/>
              </w:rPr>
              <w:t>HB 0073</w:t>
            </w:r>
          </w:p>
        </w:tc>
        <w:tc>
          <w:tcPr>
            <w:tcW w:w="0" w:type="auto"/>
            <w:tcBorders>
              <w:top w:val="single" w:sz="4" w:space="0" w:color="000000"/>
            </w:tcBorders>
            <w:shd w:val="clear" w:color="auto" w:fill="EEEEEE"/>
            <w:tcMar>
              <w:top w:w="20" w:type="dxa"/>
              <w:left w:w="20" w:type="dxa"/>
              <w:bottom w:w="20" w:type="dxa"/>
              <w:right w:w="20" w:type="dxa"/>
            </w:tcMar>
            <w:vAlign w:val="center"/>
            <w:hideMark/>
          </w:tcPr>
          <w:p w:rsidR="003D46FD" w:rsidRPr="003D46FD" w:rsidRDefault="003D46FD">
            <w:pPr>
              <w:rPr>
                <w:rFonts w:ascii="Arial" w:hAnsi="Arial" w:cs="Arial"/>
                <w:b/>
                <w:bCs/>
                <w:sz w:val="22"/>
                <w:szCs w:val="22"/>
              </w:rPr>
            </w:pPr>
            <w:r w:rsidRPr="003D46FD">
              <w:rPr>
                <w:rFonts w:ascii="Arial" w:hAnsi="Arial" w:cs="Arial"/>
                <w:b/>
                <w:bCs/>
                <w:sz w:val="22"/>
                <w:szCs w:val="22"/>
              </w:rPr>
              <w:t>Relating to Residential Properties</w:t>
            </w:r>
          </w:p>
        </w:tc>
        <w:tc>
          <w:tcPr>
            <w:tcW w:w="0" w:type="auto"/>
            <w:tcBorders>
              <w:top w:val="single" w:sz="4" w:space="0" w:color="000000"/>
            </w:tcBorders>
            <w:shd w:val="clear" w:color="auto" w:fill="EEEEEE"/>
            <w:tcMar>
              <w:top w:w="20" w:type="dxa"/>
              <w:left w:w="20" w:type="dxa"/>
              <w:bottom w:w="20" w:type="dxa"/>
              <w:right w:w="20" w:type="dxa"/>
            </w:tcMar>
            <w:vAlign w:val="center"/>
            <w:hideMark/>
          </w:tcPr>
          <w:p w:rsidR="003D46FD" w:rsidRPr="003D46FD" w:rsidRDefault="003D46FD">
            <w:pPr>
              <w:rPr>
                <w:rFonts w:ascii="Arial" w:hAnsi="Arial" w:cs="Arial"/>
                <w:sz w:val="22"/>
                <w:szCs w:val="22"/>
              </w:rPr>
            </w:pPr>
            <w:r w:rsidRPr="00BA2D07">
              <w:rPr>
                <w:rFonts w:ascii="Arial" w:hAnsi="Arial" w:cs="Arial"/>
                <w:sz w:val="22"/>
                <w:szCs w:val="22"/>
              </w:rPr>
              <w:t>Moraitis</w:t>
            </w:r>
            <w:r w:rsidRPr="003D46FD">
              <w:rPr>
                <w:rFonts w:ascii="Arial" w:hAnsi="Arial" w:cs="Arial"/>
                <w:sz w:val="22"/>
                <w:szCs w:val="22"/>
              </w:rPr>
              <w:t xml:space="preserve"> </w:t>
            </w:r>
          </w:p>
        </w:tc>
        <w:tc>
          <w:tcPr>
            <w:tcW w:w="0" w:type="auto"/>
            <w:tcBorders>
              <w:top w:val="single" w:sz="4" w:space="0" w:color="000000"/>
            </w:tcBorders>
            <w:shd w:val="clear" w:color="auto" w:fill="EEEEEE"/>
            <w:tcMar>
              <w:top w:w="20" w:type="dxa"/>
              <w:left w:w="20" w:type="dxa"/>
              <w:bottom w:w="20" w:type="dxa"/>
              <w:right w:w="20" w:type="dxa"/>
            </w:tcMar>
            <w:vAlign w:val="center"/>
            <w:hideMark/>
          </w:tcPr>
          <w:p w:rsidR="003D46FD" w:rsidRPr="003D46FD" w:rsidRDefault="003D46FD">
            <w:pPr>
              <w:rPr>
                <w:rFonts w:ascii="Arial" w:hAnsi="Arial" w:cs="Arial"/>
                <w:sz w:val="22"/>
                <w:szCs w:val="22"/>
              </w:rPr>
            </w:pPr>
            <w:r w:rsidRPr="003D46FD">
              <w:rPr>
                <w:rFonts w:ascii="Arial" w:hAnsi="Arial" w:cs="Arial"/>
                <w:sz w:val="22"/>
                <w:szCs w:val="22"/>
              </w:rPr>
              <w:t>01/11/13</w:t>
            </w:r>
          </w:p>
        </w:tc>
        <w:tc>
          <w:tcPr>
            <w:tcW w:w="0" w:type="auto"/>
            <w:tcBorders>
              <w:top w:val="single" w:sz="4" w:space="0" w:color="000000"/>
            </w:tcBorders>
            <w:shd w:val="clear" w:color="auto" w:fill="EEEEEE"/>
            <w:tcMar>
              <w:top w:w="20" w:type="dxa"/>
              <w:left w:w="20" w:type="dxa"/>
              <w:bottom w:w="20" w:type="dxa"/>
              <w:right w:w="20" w:type="dxa"/>
            </w:tcMar>
            <w:vAlign w:val="center"/>
            <w:hideMark/>
          </w:tcPr>
          <w:p w:rsidR="003D46FD" w:rsidRPr="003D46FD" w:rsidRDefault="00B65B83">
            <w:pPr>
              <w:rPr>
                <w:rFonts w:ascii="Arial" w:hAnsi="Arial" w:cs="Arial"/>
                <w:sz w:val="22"/>
                <w:szCs w:val="22"/>
              </w:rPr>
            </w:pPr>
            <w:r w:rsidRPr="00B65B83">
              <w:rPr>
                <w:rFonts w:ascii="Arial" w:hAnsi="Arial" w:cs="Arial"/>
              </w:rPr>
              <w:pict>
                <v:shape id="_x0000_i1029" type="#_x0000_t75" style="width:16.5pt;height:14pt">
                  <v:imagedata r:id="rId7" o:title=""/>
                </v:shape>
              </w:pict>
            </w:r>
          </w:p>
        </w:tc>
        <w:tc>
          <w:tcPr>
            <w:tcW w:w="0" w:type="auto"/>
            <w:tcBorders>
              <w:top w:val="single" w:sz="4" w:space="0" w:color="000000"/>
            </w:tcBorders>
            <w:shd w:val="clear" w:color="auto" w:fill="EEEEEE"/>
            <w:tcMar>
              <w:top w:w="20" w:type="dxa"/>
              <w:left w:w="20" w:type="dxa"/>
              <w:bottom w:w="20" w:type="dxa"/>
              <w:right w:w="20" w:type="dxa"/>
            </w:tcMar>
            <w:vAlign w:val="center"/>
            <w:hideMark/>
          </w:tcPr>
          <w:p w:rsidR="003D46FD" w:rsidRPr="003D46FD" w:rsidRDefault="003D46FD">
            <w:pPr>
              <w:rPr>
                <w:rFonts w:ascii="Arial" w:hAnsi="Arial" w:cs="Arial"/>
                <w:sz w:val="22"/>
                <w:szCs w:val="22"/>
              </w:rPr>
            </w:pPr>
            <w:r w:rsidRPr="003D46FD">
              <w:rPr>
                <w:rFonts w:ascii="Arial" w:hAnsi="Arial" w:cs="Arial"/>
                <w:sz w:val="22"/>
                <w:szCs w:val="22"/>
              </w:rPr>
              <w:t> </w:t>
            </w:r>
          </w:p>
        </w:tc>
        <w:tc>
          <w:tcPr>
            <w:tcW w:w="0" w:type="auto"/>
            <w:tcBorders>
              <w:top w:val="single" w:sz="4" w:space="0" w:color="000000"/>
            </w:tcBorders>
            <w:shd w:val="clear" w:color="auto" w:fill="EEEEEE"/>
            <w:tcMar>
              <w:top w:w="20" w:type="dxa"/>
              <w:left w:w="20" w:type="dxa"/>
              <w:bottom w:w="20" w:type="dxa"/>
              <w:right w:w="20" w:type="dxa"/>
            </w:tcMar>
            <w:vAlign w:val="center"/>
            <w:hideMark/>
          </w:tcPr>
          <w:p w:rsidR="003D46FD" w:rsidRPr="003D46FD" w:rsidRDefault="003D46FD">
            <w:pPr>
              <w:jc w:val="center"/>
              <w:rPr>
                <w:rFonts w:ascii="Arial" w:hAnsi="Arial" w:cs="Arial"/>
                <w:sz w:val="22"/>
                <w:szCs w:val="22"/>
              </w:rPr>
            </w:pPr>
            <w:r w:rsidRPr="003D46FD">
              <w:rPr>
                <w:rFonts w:ascii="Arial" w:hAnsi="Arial" w:cs="Arial"/>
                <w:noProof/>
                <w:color w:val="003366"/>
                <w:sz w:val="22"/>
                <w:szCs w:val="22"/>
              </w:rPr>
              <w:drawing>
                <wp:inline distT="0" distB="0" distL="0" distR="0">
                  <wp:extent cx="133350" cy="133350"/>
                  <wp:effectExtent l="19050" t="0" r="0" b="0"/>
                  <wp:docPr id="7" name="Picture 7" descr="ADD 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D NOTE">
                            <a:hlinkClick r:id="rId16"/>
                          </pic:cNvPr>
                          <pic:cNvPicPr>
                            <a:picLocks noChangeAspect="1" noChangeArrowheads="1"/>
                          </pic:cNvPicPr>
                        </pic:nvPicPr>
                        <pic:blipFill>
                          <a:blip r:embed="rId9"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p>
        </w:tc>
        <w:tc>
          <w:tcPr>
            <w:tcW w:w="0" w:type="auto"/>
            <w:tcBorders>
              <w:top w:val="single" w:sz="4" w:space="0" w:color="000000"/>
            </w:tcBorders>
            <w:shd w:val="clear" w:color="auto" w:fill="EEEEEE"/>
            <w:tcMar>
              <w:top w:w="20" w:type="dxa"/>
              <w:left w:w="20" w:type="dxa"/>
              <w:bottom w:w="20" w:type="dxa"/>
              <w:right w:w="20" w:type="dxa"/>
            </w:tcMar>
            <w:vAlign w:val="center"/>
            <w:hideMark/>
          </w:tcPr>
          <w:p w:rsidR="003D46FD" w:rsidRPr="003D46FD" w:rsidRDefault="003D46FD">
            <w:pPr>
              <w:jc w:val="center"/>
              <w:rPr>
                <w:rFonts w:ascii="Arial" w:hAnsi="Arial" w:cs="Arial"/>
                <w:sz w:val="22"/>
                <w:szCs w:val="22"/>
              </w:rPr>
            </w:pPr>
            <w:r w:rsidRPr="003D46FD">
              <w:rPr>
                <w:rFonts w:ascii="Arial" w:hAnsi="Arial" w:cs="Arial"/>
                <w:noProof/>
                <w:color w:val="003366"/>
                <w:sz w:val="22"/>
                <w:szCs w:val="22"/>
              </w:rPr>
              <w:drawing>
                <wp:inline distT="0" distB="0" distL="0" distR="0">
                  <wp:extent cx="114300" cy="114300"/>
                  <wp:effectExtent l="19050" t="0" r="0" b="0"/>
                  <wp:docPr id="8" name="Picture 8" descr="http://static.lobbytools.com/images/ico_dele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tatic.lobbytools.com/images/ico_delete.gif">
                            <a:hlinkClick r:id="rId17"/>
                          </pic:cNvPr>
                          <pic:cNvPicPr>
                            <a:picLocks noChangeAspect="1" noChangeArrowheads="1"/>
                          </pic:cNvPicPr>
                        </pic:nvPicPr>
                        <pic:blipFill>
                          <a:blip r:embed="rId11"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p>
        </w:tc>
      </w:tr>
      <w:tr w:rsidR="003D46FD">
        <w:trPr>
          <w:tblCellSpacing w:w="0" w:type="dxa"/>
          <w:jc w:val="center"/>
        </w:trPr>
        <w:tc>
          <w:tcPr>
            <w:tcW w:w="0" w:type="auto"/>
            <w:tcMar>
              <w:top w:w="20" w:type="dxa"/>
              <w:left w:w="20" w:type="dxa"/>
              <w:bottom w:w="20" w:type="dxa"/>
              <w:right w:w="20" w:type="dxa"/>
            </w:tcMar>
            <w:vAlign w:val="center"/>
            <w:hideMark/>
          </w:tcPr>
          <w:p w:rsidR="003D46FD" w:rsidRPr="003D46FD" w:rsidRDefault="003D46FD">
            <w:pPr>
              <w:rPr>
                <w:rFonts w:ascii="Arial" w:hAnsi="Arial" w:cs="Arial"/>
                <w:sz w:val="22"/>
                <w:szCs w:val="22"/>
              </w:rPr>
            </w:pPr>
            <w:r w:rsidRPr="003D46FD">
              <w:rPr>
                <w:rFonts w:ascii="Arial" w:hAnsi="Arial" w:cs="Arial"/>
                <w:sz w:val="22"/>
                <w:szCs w:val="22"/>
              </w:rPr>
              <w:t>(</w:t>
            </w:r>
            <w:r w:rsidRPr="003D46FD">
              <w:rPr>
                <w:rFonts w:ascii="Arial" w:hAnsi="Arial" w:cs="Arial"/>
                <w:b/>
                <w:bCs/>
                <w:sz w:val="22"/>
                <w:szCs w:val="22"/>
              </w:rPr>
              <w:t>C:</w:t>
            </w:r>
            <w:r w:rsidRPr="003D46FD">
              <w:rPr>
                <w:rFonts w:ascii="Arial" w:hAnsi="Arial" w:cs="Arial"/>
                <w:sz w:val="22"/>
                <w:szCs w:val="22"/>
              </w:rPr>
              <w:t xml:space="preserve"> </w:t>
            </w:r>
            <w:r w:rsidRPr="00BA2D07">
              <w:rPr>
                <w:rFonts w:ascii="Arial" w:hAnsi="Arial" w:cs="Arial"/>
                <w:sz w:val="22"/>
                <w:szCs w:val="22"/>
              </w:rPr>
              <w:t>0120</w:t>
            </w:r>
            <w:r w:rsidRPr="003D46FD">
              <w:rPr>
                <w:rFonts w:ascii="Arial" w:hAnsi="Arial" w:cs="Arial"/>
                <w:sz w:val="22"/>
                <w:szCs w:val="22"/>
              </w:rPr>
              <w:t xml:space="preserve"> )</w:t>
            </w:r>
          </w:p>
        </w:tc>
        <w:tc>
          <w:tcPr>
            <w:tcW w:w="0" w:type="auto"/>
            <w:gridSpan w:val="6"/>
            <w:tcMar>
              <w:top w:w="20" w:type="dxa"/>
              <w:left w:w="20" w:type="dxa"/>
              <w:bottom w:w="20" w:type="dxa"/>
              <w:right w:w="20" w:type="dxa"/>
            </w:tcMar>
            <w:vAlign w:val="center"/>
            <w:hideMark/>
          </w:tcPr>
          <w:p w:rsidR="003D46FD" w:rsidRPr="003D46FD" w:rsidRDefault="003D46FD">
            <w:pPr>
              <w:rPr>
                <w:rFonts w:ascii="Arial" w:hAnsi="Arial" w:cs="Arial"/>
                <w:sz w:val="22"/>
                <w:szCs w:val="22"/>
              </w:rPr>
            </w:pPr>
            <w:r w:rsidRPr="003D46FD">
              <w:rPr>
                <w:rFonts w:ascii="Arial" w:hAnsi="Arial" w:cs="Arial"/>
                <w:sz w:val="22"/>
                <w:szCs w:val="22"/>
              </w:rPr>
              <w:t>Residential Properties: Exempts certain elevators from specific code update requirements; revises provisions relating to terms of condominium board of administration members; revises condominium unit owner election &amp; condominium association meeting notice &amp; recordkeeping requirements; provides requirements for condominiums relating to election challenges, recalls, &amp; installation of impact glass or other code-compliant windows; provides requirements for condominiums created within condominium parcels; revises provisions relating to imposing remedies; revises liability of unit owners; provides liability limitations of certain first mortgagee or its successor or assignees; revises records not accessible to members or parcel owners; revises provisions relating to amendment of declarations; provides criteria for consent to amendment; requires notice to mortgagees regarding proposed amendments. Effective Date: July 1, 2013</w:t>
            </w:r>
          </w:p>
        </w:tc>
        <w:tc>
          <w:tcPr>
            <w:tcW w:w="0" w:type="auto"/>
            <w:vAlign w:val="center"/>
            <w:hideMark/>
          </w:tcPr>
          <w:p w:rsidR="003D46FD" w:rsidRPr="003D46FD" w:rsidRDefault="003D46FD">
            <w:pPr>
              <w:rPr>
                <w:sz w:val="22"/>
                <w:szCs w:val="22"/>
              </w:rPr>
            </w:pPr>
          </w:p>
        </w:tc>
      </w:tr>
      <w:tr w:rsidR="003D46FD">
        <w:trPr>
          <w:tblCellSpacing w:w="0" w:type="dxa"/>
          <w:jc w:val="center"/>
        </w:trPr>
        <w:tc>
          <w:tcPr>
            <w:tcW w:w="0" w:type="auto"/>
            <w:tcMar>
              <w:top w:w="20" w:type="dxa"/>
              <w:left w:w="20" w:type="dxa"/>
              <w:bottom w:w="20" w:type="dxa"/>
              <w:right w:w="20" w:type="dxa"/>
            </w:tcMar>
            <w:vAlign w:val="center"/>
            <w:hideMark/>
          </w:tcPr>
          <w:p w:rsidR="003D46FD" w:rsidRPr="003D46FD" w:rsidRDefault="003D46FD">
            <w:pPr>
              <w:rPr>
                <w:rFonts w:ascii="Arial" w:hAnsi="Arial" w:cs="Arial"/>
                <w:sz w:val="22"/>
                <w:szCs w:val="22"/>
              </w:rPr>
            </w:pPr>
          </w:p>
        </w:tc>
        <w:tc>
          <w:tcPr>
            <w:tcW w:w="0" w:type="auto"/>
            <w:gridSpan w:val="7"/>
            <w:tcMar>
              <w:top w:w="20" w:type="dxa"/>
              <w:left w:w="20" w:type="dxa"/>
              <w:bottom w:w="20" w:type="dxa"/>
              <w:right w:w="20" w:type="dxa"/>
            </w:tcMar>
            <w:vAlign w:val="center"/>
            <w:hideMark/>
          </w:tcPr>
          <w:tbl>
            <w:tblPr>
              <w:tblW w:w="0" w:type="auto"/>
              <w:tblCellSpacing w:w="0" w:type="dxa"/>
              <w:tblCellMar>
                <w:left w:w="0" w:type="dxa"/>
                <w:right w:w="0" w:type="dxa"/>
              </w:tblCellMar>
              <w:tblLook w:val="04A0"/>
            </w:tblPr>
            <w:tblGrid>
              <w:gridCol w:w="958"/>
              <w:gridCol w:w="1361"/>
            </w:tblGrid>
            <w:tr w:rsidR="003D46FD" w:rsidRPr="003D46FD">
              <w:trPr>
                <w:tblCellSpacing w:w="0" w:type="dxa"/>
              </w:trPr>
              <w:tc>
                <w:tcPr>
                  <w:tcW w:w="0" w:type="auto"/>
                  <w:tcMar>
                    <w:top w:w="20" w:type="dxa"/>
                    <w:left w:w="20" w:type="dxa"/>
                    <w:bottom w:w="20" w:type="dxa"/>
                    <w:right w:w="20" w:type="dxa"/>
                  </w:tcMar>
                  <w:hideMark/>
                </w:tcPr>
                <w:p w:rsidR="003D46FD" w:rsidRPr="003D46FD" w:rsidRDefault="003D46FD">
                  <w:pPr>
                    <w:rPr>
                      <w:rFonts w:ascii="Arial" w:hAnsi="Arial" w:cs="Arial"/>
                      <w:sz w:val="22"/>
                      <w:szCs w:val="22"/>
                    </w:rPr>
                  </w:pPr>
                  <w:r w:rsidRPr="003D46FD">
                    <w:rPr>
                      <w:rFonts w:ascii="Arial" w:hAnsi="Arial" w:cs="Arial"/>
                      <w:sz w:val="22"/>
                      <w:szCs w:val="22"/>
                    </w:rPr>
                    <w:t>12/28/12 </w:t>
                  </w:r>
                </w:p>
              </w:tc>
              <w:tc>
                <w:tcPr>
                  <w:tcW w:w="0" w:type="auto"/>
                  <w:tcMar>
                    <w:top w:w="20" w:type="dxa"/>
                    <w:left w:w="20" w:type="dxa"/>
                    <w:bottom w:w="20" w:type="dxa"/>
                    <w:right w:w="20" w:type="dxa"/>
                  </w:tcMar>
                  <w:vAlign w:val="center"/>
                  <w:hideMark/>
                </w:tcPr>
                <w:p w:rsidR="003D46FD" w:rsidRPr="003D46FD" w:rsidRDefault="003D46FD">
                  <w:pPr>
                    <w:rPr>
                      <w:rFonts w:ascii="Arial" w:hAnsi="Arial" w:cs="Arial"/>
                      <w:sz w:val="22"/>
                      <w:szCs w:val="22"/>
                    </w:rPr>
                  </w:pPr>
                  <w:r w:rsidRPr="003D46FD">
                    <w:rPr>
                      <w:rFonts w:ascii="Arial" w:hAnsi="Arial" w:cs="Arial"/>
                      <w:sz w:val="22"/>
                      <w:szCs w:val="22"/>
                    </w:rPr>
                    <w:t>HOUSE Filed</w:t>
                  </w:r>
                </w:p>
              </w:tc>
            </w:tr>
          </w:tbl>
          <w:p w:rsidR="003D46FD" w:rsidRPr="003D46FD" w:rsidRDefault="003D46FD">
            <w:pPr>
              <w:rPr>
                <w:rFonts w:ascii="Arial" w:hAnsi="Arial" w:cs="Arial"/>
                <w:sz w:val="22"/>
                <w:szCs w:val="22"/>
              </w:rPr>
            </w:pPr>
          </w:p>
        </w:tc>
      </w:tr>
      <w:tr w:rsidR="003D46FD">
        <w:trPr>
          <w:tblCellSpacing w:w="0" w:type="dxa"/>
          <w:jc w:val="center"/>
        </w:trPr>
        <w:tc>
          <w:tcPr>
            <w:tcW w:w="0" w:type="auto"/>
            <w:tcMar>
              <w:top w:w="20" w:type="dxa"/>
              <w:left w:w="20" w:type="dxa"/>
              <w:bottom w:w="20" w:type="dxa"/>
              <w:right w:w="20" w:type="dxa"/>
            </w:tcMar>
            <w:vAlign w:val="center"/>
            <w:hideMark/>
          </w:tcPr>
          <w:p w:rsidR="003D46FD" w:rsidRPr="003D46FD" w:rsidRDefault="003D46FD">
            <w:pPr>
              <w:rPr>
                <w:rFonts w:ascii="Arial" w:hAnsi="Arial" w:cs="Arial"/>
                <w:sz w:val="22"/>
                <w:szCs w:val="22"/>
              </w:rPr>
            </w:pPr>
          </w:p>
        </w:tc>
        <w:tc>
          <w:tcPr>
            <w:tcW w:w="0" w:type="auto"/>
            <w:gridSpan w:val="7"/>
            <w:tcMar>
              <w:top w:w="20" w:type="dxa"/>
              <w:left w:w="20" w:type="dxa"/>
              <w:bottom w:w="20" w:type="dxa"/>
              <w:right w:w="20" w:type="dxa"/>
            </w:tcMar>
            <w:vAlign w:val="center"/>
            <w:hideMark/>
          </w:tcPr>
          <w:tbl>
            <w:tblPr>
              <w:tblW w:w="0" w:type="auto"/>
              <w:tblCellSpacing w:w="0" w:type="dxa"/>
              <w:tblCellMar>
                <w:left w:w="0" w:type="dxa"/>
                <w:right w:w="0" w:type="dxa"/>
              </w:tblCellMar>
              <w:tblLook w:val="04A0"/>
            </w:tblPr>
            <w:tblGrid>
              <w:gridCol w:w="958"/>
              <w:gridCol w:w="7632"/>
            </w:tblGrid>
            <w:tr w:rsidR="003D46FD" w:rsidRPr="003D46FD">
              <w:trPr>
                <w:tblCellSpacing w:w="0" w:type="dxa"/>
              </w:trPr>
              <w:tc>
                <w:tcPr>
                  <w:tcW w:w="0" w:type="auto"/>
                  <w:tcMar>
                    <w:top w:w="20" w:type="dxa"/>
                    <w:left w:w="20" w:type="dxa"/>
                    <w:bottom w:w="20" w:type="dxa"/>
                    <w:right w:w="20" w:type="dxa"/>
                  </w:tcMar>
                  <w:hideMark/>
                </w:tcPr>
                <w:p w:rsidR="003D46FD" w:rsidRPr="003D46FD" w:rsidRDefault="003D46FD">
                  <w:pPr>
                    <w:rPr>
                      <w:rFonts w:ascii="Arial" w:hAnsi="Arial" w:cs="Arial"/>
                      <w:sz w:val="22"/>
                      <w:szCs w:val="22"/>
                    </w:rPr>
                  </w:pPr>
                  <w:r w:rsidRPr="003D46FD">
                    <w:rPr>
                      <w:rFonts w:ascii="Arial" w:hAnsi="Arial" w:cs="Arial"/>
                      <w:sz w:val="22"/>
                      <w:szCs w:val="22"/>
                    </w:rPr>
                    <w:t>01/11/13 </w:t>
                  </w:r>
                </w:p>
              </w:tc>
              <w:tc>
                <w:tcPr>
                  <w:tcW w:w="0" w:type="auto"/>
                  <w:tcMar>
                    <w:top w:w="20" w:type="dxa"/>
                    <w:left w:w="20" w:type="dxa"/>
                    <w:bottom w:w="20" w:type="dxa"/>
                    <w:right w:w="20" w:type="dxa"/>
                  </w:tcMar>
                  <w:vAlign w:val="center"/>
                  <w:hideMark/>
                </w:tcPr>
                <w:p w:rsidR="003D46FD" w:rsidRPr="003D46FD" w:rsidRDefault="003D46FD">
                  <w:pPr>
                    <w:rPr>
                      <w:rFonts w:ascii="Arial" w:hAnsi="Arial" w:cs="Arial"/>
                      <w:sz w:val="22"/>
                      <w:szCs w:val="22"/>
                    </w:rPr>
                  </w:pPr>
                  <w:r w:rsidRPr="003D46FD">
                    <w:rPr>
                      <w:rFonts w:ascii="Arial" w:hAnsi="Arial" w:cs="Arial"/>
                      <w:sz w:val="22"/>
                      <w:szCs w:val="22"/>
                    </w:rPr>
                    <w:t xml:space="preserve">HOUSE Referred to Civil Justice Subcommittee; Business &amp; Professional Regulation Subcommittee; Judiciary Committee </w:t>
                  </w:r>
                </w:p>
              </w:tc>
            </w:tr>
          </w:tbl>
          <w:p w:rsidR="003D46FD" w:rsidRPr="003D46FD" w:rsidRDefault="003D46FD">
            <w:pPr>
              <w:rPr>
                <w:rFonts w:ascii="Arial" w:hAnsi="Arial" w:cs="Arial"/>
                <w:sz w:val="22"/>
                <w:szCs w:val="22"/>
              </w:rPr>
            </w:pPr>
          </w:p>
        </w:tc>
      </w:tr>
      <w:tr w:rsidR="003D46FD">
        <w:trPr>
          <w:tblCellSpacing w:w="0" w:type="dxa"/>
          <w:jc w:val="center"/>
        </w:trPr>
        <w:tc>
          <w:tcPr>
            <w:tcW w:w="0" w:type="auto"/>
            <w:tcMar>
              <w:top w:w="20" w:type="dxa"/>
              <w:left w:w="20" w:type="dxa"/>
              <w:bottom w:w="20" w:type="dxa"/>
              <w:right w:w="20" w:type="dxa"/>
            </w:tcMar>
            <w:vAlign w:val="center"/>
            <w:hideMark/>
          </w:tcPr>
          <w:p w:rsidR="003D46FD" w:rsidRPr="003D46FD" w:rsidRDefault="003D46FD">
            <w:pPr>
              <w:rPr>
                <w:rFonts w:ascii="Arial" w:hAnsi="Arial" w:cs="Arial"/>
                <w:sz w:val="22"/>
                <w:szCs w:val="22"/>
              </w:rPr>
            </w:pPr>
          </w:p>
        </w:tc>
        <w:tc>
          <w:tcPr>
            <w:tcW w:w="0" w:type="auto"/>
            <w:gridSpan w:val="7"/>
            <w:tcMar>
              <w:top w:w="20" w:type="dxa"/>
              <w:left w:w="20" w:type="dxa"/>
              <w:bottom w:w="20" w:type="dxa"/>
              <w:right w:w="20" w:type="dxa"/>
            </w:tcMar>
            <w:vAlign w:val="center"/>
            <w:hideMark/>
          </w:tcPr>
          <w:tbl>
            <w:tblPr>
              <w:tblW w:w="0" w:type="auto"/>
              <w:tblCellSpacing w:w="0" w:type="dxa"/>
              <w:tblCellMar>
                <w:left w:w="0" w:type="dxa"/>
                <w:right w:w="0" w:type="dxa"/>
              </w:tblCellMar>
              <w:tblLook w:val="04A0"/>
            </w:tblPr>
            <w:tblGrid>
              <w:gridCol w:w="958"/>
              <w:gridCol w:w="4246"/>
            </w:tblGrid>
            <w:tr w:rsidR="003D46FD" w:rsidRPr="003D46FD">
              <w:trPr>
                <w:tblCellSpacing w:w="0" w:type="dxa"/>
              </w:trPr>
              <w:tc>
                <w:tcPr>
                  <w:tcW w:w="0" w:type="auto"/>
                  <w:tcMar>
                    <w:top w:w="20" w:type="dxa"/>
                    <w:left w:w="20" w:type="dxa"/>
                    <w:bottom w:w="20" w:type="dxa"/>
                    <w:right w:w="20" w:type="dxa"/>
                  </w:tcMar>
                  <w:hideMark/>
                </w:tcPr>
                <w:p w:rsidR="003D46FD" w:rsidRPr="003D46FD" w:rsidRDefault="003D46FD">
                  <w:pPr>
                    <w:rPr>
                      <w:rFonts w:ascii="Arial" w:hAnsi="Arial" w:cs="Arial"/>
                      <w:sz w:val="22"/>
                      <w:szCs w:val="22"/>
                    </w:rPr>
                  </w:pPr>
                  <w:r w:rsidRPr="003D46FD">
                    <w:rPr>
                      <w:rFonts w:ascii="Arial" w:hAnsi="Arial" w:cs="Arial"/>
                      <w:sz w:val="22"/>
                      <w:szCs w:val="22"/>
                    </w:rPr>
                    <w:t>01/11/13 </w:t>
                  </w:r>
                </w:p>
              </w:tc>
              <w:tc>
                <w:tcPr>
                  <w:tcW w:w="0" w:type="auto"/>
                  <w:tcMar>
                    <w:top w:w="20" w:type="dxa"/>
                    <w:left w:w="20" w:type="dxa"/>
                    <w:bottom w:w="20" w:type="dxa"/>
                    <w:right w:w="20" w:type="dxa"/>
                  </w:tcMar>
                  <w:vAlign w:val="center"/>
                  <w:hideMark/>
                </w:tcPr>
                <w:p w:rsidR="003D46FD" w:rsidRPr="003D46FD" w:rsidRDefault="003D46FD">
                  <w:pPr>
                    <w:rPr>
                      <w:rFonts w:ascii="Arial" w:hAnsi="Arial" w:cs="Arial"/>
                      <w:sz w:val="22"/>
                      <w:szCs w:val="22"/>
                    </w:rPr>
                  </w:pPr>
                  <w:r w:rsidRPr="003D46FD">
                    <w:rPr>
                      <w:rFonts w:ascii="Arial" w:hAnsi="Arial" w:cs="Arial"/>
                      <w:sz w:val="22"/>
                      <w:szCs w:val="22"/>
                    </w:rPr>
                    <w:t>HOUSE Now in Civil Justice Subcommittee</w:t>
                  </w:r>
                </w:p>
              </w:tc>
            </w:tr>
          </w:tbl>
          <w:p w:rsidR="003D46FD" w:rsidRPr="003D46FD" w:rsidRDefault="003D46FD">
            <w:pPr>
              <w:rPr>
                <w:rFonts w:ascii="Arial" w:hAnsi="Arial" w:cs="Arial"/>
                <w:sz w:val="22"/>
                <w:szCs w:val="22"/>
              </w:rPr>
            </w:pPr>
          </w:p>
        </w:tc>
      </w:tr>
      <w:tr w:rsidR="003D46FD">
        <w:trPr>
          <w:tblCellSpacing w:w="0" w:type="dxa"/>
          <w:jc w:val="center"/>
        </w:trPr>
        <w:tc>
          <w:tcPr>
            <w:tcW w:w="0" w:type="auto"/>
            <w:tcBorders>
              <w:top w:val="single" w:sz="4" w:space="0" w:color="000000"/>
            </w:tcBorders>
            <w:shd w:val="clear" w:color="auto" w:fill="EEEEEE"/>
            <w:tcMar>
              <w:top w:w="20" w:type="dxa"/>
              <w:left w:w="20" w:type="dxa"/>
              <w:bottom w:w="20" w:type="dxa"/>
              <w:right w:w="20" w:type="dxa"/>
            </w:tcMar>
            <w:vAlign w:val="center"/>
            <w:hideMark/>
          </w:tcPr>
          <w:p w:rsidR="003D46FD" w:rsidRPr="003D46FD" w:rsidRDefault="003D46FD">
            <w:pPr>
              <w:rPr>
                <w:rFonts w:ascii="Arial" w:hAnsi="Arial" w:cs="Arial"/>
                <w:sz w:val="22"/>
                <w:szCs w:val="22"/>
              </w:rPr>
            </w:pPr>
            <w:r w:rsidRPr="00BA2D07">
              <w:rPr>
                <w:rFonts w:ascii="Arial" w:hAnsi="Arial" w:cs="Arial"/>
                <w:sz w:val="22"/>
                <w:szCs w:val="22"/>
              </w:rPr>
              <w:t>SB 0084</w:t>
            </w:r>
          </w:p>
        </w:tc>
        <w:tc>
          <w:tcPr>
            <w:tcW w:w="0" w:type="auto"/>
            <w:tcBorders>
              <w:top w:val="single" w:sz="4" w:space="0" w:color="000000"/>
            </w:tcBorders>
            <w:shd w:val="clear" w:color="auto" w:fill="EEEEEE"/>
            <w:tcMar>
              <w:top w:w="20" w:type="dxa"/>
              <w:left w:w="20" w:type="dxa"/>
              <w:bottom w:w="20" w:type="dxa"/>
              <w:right w:w="20" w:type="dxa"/>
            </w:tcMar>
            <w:vAlign w:val="center"/>
            <w:hideMark/>
          </w:tcPr>
          <w:p w:rsidR="003D46FD" w:rsidRPr="003D46FD" w:rsidRDefault="003D46FD">
            <w:pPr>
              <w:rPr>
                <w:rFonts w:ascii="Arial" w:hAnsi="Arial" w:cs="Arial"/>
                <w:b/>
                <w:bCs/>
                <w:sz w:val="22"/>
                <w:szCs w:val="22"/>
              </w:rPr>
            </w:pPr>
            <w:r w:rsidRPr="003D46FD">
              <w:rPr>
                <w:rFonts w:ascii="Arial" w:hAnsi="Arial" w:cs="Arial"/>
                <w:b/>
                <w:bCs/>
                <w:sz w:val="22"/>
                <w:szCs w:val="22"/>
              </w:rPr>
              <w:t>Relating to Public-private Partnerships</w:t>
            </w:r>
          </w:p>
        </w:tc>
        <w:tc>
          <w:tcPr>
            <w:tcW w:w="0" w:type="auto"/>
            <w:tcBorders>
              <w:top w:val="single" w:sz="4" w:space="0" w:color="000000"/>
            </w:tcBorders>
            <w:shd w:val="clear" w:color="auto" w:fill="EEEEEE"/>
            <w:tcMar>
              <w:top w:w="20" w:type="dxa"/>
              <w:left w:w="20" w:type="dxa"/>
              <w:bottom w:w="20" w:type="dxa"/>
              <w:right w:w="20" w:type="dxa"/>
            </w:tcMar>
            <w:vAlign w:val="center"/>
            <w:hideMark/>
          </w:tcPr>
          <w:p w:rsidR="003D46FD" w:rsidRPr="003D46FD" w:rsidRDefault="003D46FD">
            <w:pPr>
              <w:rPr>
                <w:rFonts w:ascii="Arial" w:hAnsi="Arial" w:cs="Arial"/>
                <w:sz w:val="22"/>
                <w:szCs w:val="22"/>
              </w:rPr>
            </w:pPr>
            <w:r w:rsidRPr="00BA2D07">
              <w:rPr>
                <w:rFonts w:ascii="Arial" w:hAnsi="Arial" w:cs="Arial"/>
                <w:sz w:val="22"/>
                <w:szCs w:val="22"/>
              </w:rPr>
              <w:t>Diaz de la Portilla</w:t>
            </w:r>
            <w:r w:rsidRPr="003D46FD">
              <w:rPr>
                <w:rFonts w:ascii="Arial" w:hAnsi="Arial" w:cs="Arial"/>
                <w:sz w:val="22"/>
                <w:szCs w:val="22"/>
              </w:rPr>
              <w:t xml:space="preserve"> </w:t>
            </w:r>
          </w:p>
        </w:tc>
        <w:tc>
          <w:tcPr>
            <w:tcW w:w="0" w:type="auto"/>
            <w:tcBorders>
              <w:top w:val="single" w:sz="4" w:space="0" w:color="000000"/>
            </w:tcBorders>
            <w:shd w:val="clear" w:color="auto" w:fill="EEEEEE"/>
            <w:tcMar>
              <w:top w:w="20" w:type="dxa"/>
              <w:left w:w="20" w:type="dxa"/>
              <w:bottom w:w="20" w:type="dxa"/>
              <w:right w:w="20" w:type="dxa"/>
            </w:tcMar>
            <w:vAlign w:val="center"/>
            <w:hideMark/>
          </w:tcPr>
          <w:p w:rsidR="003D46FD" w:rsidRPr="003D46FD" w:rsidRDefault="003D46FD">
            <w:pPr>
              <w:rPr>
                <w:rFonts w:ascii="Arial" w:hAnsi="Arial" w:cs="Arial"/>
                <w:sz w:val="22"/>
                <w:szCs w:val="22"/>
              </w:rPr>
            </w:pPr>
            <w:r w:rsidRPr="003D46FD">
              <w:rPr>
                <w:rFonts w:ascii="Arial" w:hAnsi="Arial" w:cs="Arial"/>
                <w:sz w:val="22"/>
                <w:szCs w:val="22"/>
              </w:rPr>
              <w:t>12/05/12</w:t>
            </w:r>
          </w:p>
        </w:tc>
        <w:tc>
          <w:tcPr>
            <w:tcW w:w="0" w:type="auto"/>
            <w:tcBorders>
              <w:top w:val="single" w:sz="4" w:space="0" w:color="000000"/>
            </w:tcBorders>
            <w:shd w:val="clear" w:color="auto" w:fill="EEEEEE"/>
            <w:tcMar>
              <w:top w:w="20" w:type="dxa"/>
              <w:left w:w="20" w:type="dxa"/>
              <w:bottom w:w="20" w:type="dxa"/>
              <w:right w:w="20" w:type="dxa"/>
            </w:tcMar>
            <w:vAlign w:val="center"/>
            <w:hideMark/>
          </w:tcPr>
          <w:p w:rsidR="003D46FD" w:rsidRPr="003D46FD" w:rsidRDefault="00B65B83">
            <w:pPr>
              <w:rPr>
                <w:rFonts w:ascii="Arial" w:hAnsi="Arial" w:cs="Arial"/>
                <w:sz w:val="22"/>
                <w:szCs w:val="22"/>
              </w:rPr>
            </w:pPr>
            <w:r w:rsidRPr="00B65B83">
              <w:rPr>
                <w:rFonts w:ascii="Arial" w:hAnsi="Arial" w:cs="Arial"/>
              </w:rPr>
              <w:pict>
                <v:shape id="_x0000_i1030" type="#_x0000_t75" style="width:16.5pt;height:14pt">
                  <v:imagedata r:id="rId7" o:title=""/>
                </v:shape>
              </w:pict>
            </w:r>
          </w:p>
        </w:tc>
        <w:tc>
          <w:tcPr>
            <w:tcW w:w="0" w:type="auto"/>
            <w:tcBorders>
              <w:top w:val="single" w:sz="4" w:space="0" w:color="000000"/>
            </w:tcBorders>
            <w:shd w:val="clear" w:color="auto" w:fill="EEEEEE"/>
            <w:tcMar>
              <w:top w:w="20" w:type="dxa"/>
              <w:left w:w="20" w:type="dxa"/>
              <w:bottom w:w="20" w:type="dxa"/>
              <w:right w:w="20" w:type="dxa"/>
            </w:tcMar>
            <w:vAlign w:val="center"/>
            <w:hideMark/>
          </w:tcPr>
          <w:p w:rsidR="003D46FD" w:rsidRPr="003D46FD" w:rsidRDefault="003D46FD">
            <w:pPr>
              <w:rPr>
                <w:rFonts w:ascii="Arial" w:hAnsi="Arial" w:cs="Arial"/>
                <w:sz w:val="22"/>
                <w:szCs w:val="22"/>
              </w:rPr>
            </w:pPr>
            <w:r w:rsidRPr="003D46FD">
              <w:rPr>
                <w:rFonts w:ascii="Arial" w:hAnsi="Arial" w:cs="Arial"/>
                <w:sz w:val="22"/>
                <w:szCs w:val="22"/>
              </w:rPr>
              <w:t> </w:t>
            </w:r>
          </w:p>
        </w:tc>
        <w:tc>
          <w:tcPr>
            <w:tcW w:w="0" w:type="auto"/>
            <w:tcBorders>
              <w:top w:val="single" w:sz="4" w:space="0" w:color="000000"/>
            </w:tcBorders>
            <w:shd w:val="clear" w:color="auto" w:fill="EEEEEE"/>
            <w:tcMar>
              <w:top w:w="20" w:type="dxa"/>
              <w:left w:w="20" w:type="dxa"/>
              <w:bottom w:w="20" w:type="dxa"/>
              <w:right w:w="20" w:type="dxa"/>
            </w:tcMar>
            <w:vAlign w:val="center"/>
            <w:hideMark/>
          </w:tcPr>
          <w:p w:rsidR="003D46FD" w:rsidRPr="003D46FD" w:rsidRDefault="003D46FD">
            <w:pPr>
              <w:jc w:val="center"/>
              <w:rPr>
                <w:rFonts w:ascii="Arial" w:hAnsi="Arial" w:cs="Arial"/>
                <w:sz w:val="22"/>
                <w:szCs w:val="22"/>
              </w:rPr>
            </w:pPr>
            <w:r w:rsidRPr="003D46FD">
              <w:rPr>
                <w:rFonts w:ascii="Arial" w:hAnsi="Arial" w:cs="Arial"/>
                <w:noProof/>
                <w:color w:val="003366"/>
                <w:sz w:val="22"/>
                <w:szCs w:val="22"/>
              </w:rPr>
              <w:drawing>
                <wp:inline distT="0" distB="0" distL="0" distR="0">
                  <wp:extent cx="133350" cy="133350"/>
                  <wp:effectExtent l="19050" t="0" r="0" b="0"/>
                  <wp:docPr id="9" name="Picture 9" descr="ADD 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DD NOTE">
                            <a:hlinkClick r:id="rId18"/>
                          </pic:cNvPr>
                          <pic:cNvPicPr>
                            <a:picLocks noChangeAspect="1" noChangeArrowheads="1"/>
                          </pic:cNvPicPr>
                        </pic:nvPicPr>
                        <pic:blipFill>
                          <a:blip r:embed="rId9"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p>
        </w:tc>
        <w:tc>
          <w:tcPr>
            <w:tcW w:w="0" w:type="auto"/>
            <w:tcBorders>
              <w:top w:val="single" w:sz="4" w:space="0" w:color="000000"/>
            </w:tcBorders>
            <w:shd w:val="clear" w:color="auto" w:fill="EEEEEE"/>
            <w:tcMar>
              <w:top w:w="20" w:type="dxa"/>
              <w:left w:w="20" w:type="dxa"/>
              <w:bottom w:w="20" w:type="dxa"/>
              <w:right w:w="20" w:type="dxa"/>
            </w:tcMar>
            <w:vAlign w:val="center"/>
            <w:hideMark/>
          </w:tcPr>
          <w:p w:rsidR="003D46FD" w:rsidRPr="003D46FD" w:rsidRDefault="003D46FD">
            <w:pPr>
              <w:jc w:val="center"/>
              <w:rPr>
                <w:rFonts w:ascii="Arial" w:hAnsi="Arial" w:cs="Arial"/>
                <w:sz w:val="22"/>
                <w:szCs w:val="22"/>
              </w:rPr>
            </w:pPr>
            <w:r w:rsidRPr="003D46FD">
              <w:rPr>
                <w:rFonts w:ascii="Arial" w:hAnsi="Arial" w:cs="Arial"/>
                <w:noProof/>
                <w:color w:val="003366"/>
                <w:sz w:val="22"/>
                <w:szCs w:val="22"/>
              </w:rPr>
              <w:drawing>
                <wp:inline distT="0" distB="0" distL="0" distR="0">
                  <wp:extent cx="114300" cy="114300"/>
                  <wp:effectExtent l="19050" t="0" r="0" b="0"/>
                  <wp:docPr id="10" name="Picture 10" descr="http://static.lobbytools.com/images/ico_dele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tatic.lobbytools.com/images/ico_delete.gif">
                            <a:hlinkClick r:id="rId19"/>
                          </pic:cNvPr>
                          <pic:cNvPicPr>
                            <a:picLocks noChangeAspect="1" noChangeArrowheads="1"/>
                          </pic:cNvPicPr>
                        </pic:nvPicPr>
                        <pic:blipFill>
                          <a:blip r:embed="rId11"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p>
        </w:tc>
      </w:tr>
      <w:tr w:rsidR="003D46FD">
        <w:trPr>
          <w:tblCellSpacing w:w="0" w:type="dxa"/>
          <w:jc w:val="center"/>
        </w:trPr>
        <w:tc>
          <w:tcPr>
            <w:tcW w:w="0" w:type="auto"/>
            <w:tcMar>
              <w:top w:w="20" w:type="dxa"/>
              <w:left w:w="20" w:type="dxa"/>
              <w:bottom w:w="20" w:type="dxa"/>
              <w:right w:w="20" w:type="dxa"/>
            </w:tcMar>
            <w:vAlign w:val="center"/>
            <w:hideMark/>
          </w:tcPr>
          <w:p w:rsidR="003D46FD" w:rsidRPr="003D46FD" w:rsidRDefault="003D46FD">
            <w:pPr>
              <w:rPr>
                <w:rFonts w:ascii="Arial" w:hAnsi="Arial" w:cs="Arial"/>
                <w:sz w:val="22"/>
                <w:szCs w:val="22"/>
              </w:rPr>
            </w:pPr>
            <w:r w:rsidRPr="003D46FD">
              <w:rPr>
                <w:rFonts w:ascii="Arial" w:hAnsi="Arial" w:cs="Arial"/>
                <w:sz w:val="22"/>
                <w:szCs w:val="22"/>
              </w:rPr>
              <w:t>(</w:t>
            </w:r>
            <w:r w:rsidRPr="003D46FD">
              <w:rPr>
                <w:rFonts w:ascii="Arial" w:hAnsi="Arial" w:cs="Arial"/>
                <w:b/>
                <w:bCs/>
                <w:sz w:val="22"/>
                <w:szCs w:val="22"/>
              </w:rPr>
              <w:t>C:</w:t>
            </w:r>
            <w:r w:rsidRPr="003D46FD">
              <w:rPr>
                <w:rFonts w:ascii="Arial" w:hAnsi="Arial" w:cs="Arial"/>
                <w:sz w:val="22"/>
                <w:szCs w:val="22"/>
              </w:rPr>
              <w:t xml:space="preserve"> </w:t>
            </w:r>
            <w:r w:rsidRPr="00BA2D07">
              <w:rPr>
                <w:rFonts w:ascii="Arial" w:hAnsi="Arial" w:cs="Arial"/>
                <w:sz w:val="22"/>
                <w:szCs w:val="22"/>
              </w:rPr>
              <w:t>0238</w:t>
            </w:r>
            <w:r w:rsidRPr="003D46FD">
              <w:rPr>
                <w:rFonts w:ascii="Arial" w:hAnsi="Arial" w:cs="Arial"/>
                <w:sz w:val="22"/>
                <w:szCs w:val="22"/>
              </w:rPr>
              <w:t xml:space="preserve"> )</w:t>
            </w:r>
            <w:r w:rsidRPr="003D46FD">
              <w:rPr>
                <w:rFonts w:ascii="Arial" w:hAnsi="Arial" w:cs="Arial"/>
                <w:sz w:val="22"/>
                <w:szCs w:val="22"/>
              </w:rPr>
              <w:br/>
              <w:t>(</w:t>
            </w:r>
            <w:r w:rsidRPr="003D46FD">
              <w:rPr>
                <w:rFonts w:ascii="Arial" w:hAnsi="Arial" w:cs="Arial"/>
                <w:b/>
                <w:bCs/>
                <w:sz w:val="22"/>
                <w:szCs w:val="22"/>
              </w:rPr>
              <w:t>S:</w:t>
            </w:r>
            <w:r w:rsidRPr="003D46FD">
              <w:rPr>
                <w:rFonts w:ascii="Arial" w:hAnsi="Arial" w:cs="Arial"/>
                <w:sz w:val="22"/>
                <w:szCs w:val="22"/>
              </w:rPr>
              <w:t xml:space="preserve"> </w:t>
            </w:r>
            <w:r w:rsidRPr="00BA2D07">
              <w:rPr>
                <w:rFonts w:ascii="Arial" w:hAnsi="Arial" w:cs="Arial"/>
                <w:sz w:val="22"/>
                <w:szCs w:val="22"/>
              </w:rPr>
              <w:t>0085</w:t>
            </w:r>
            <w:r w:rsidRPr="003D46FD">
              <w:rPr>
                <w:rFonts w:ascii="Arial" w:hAnsi="Arial" w:cs="Arial"/>
                <w:sz w:val="22"/>
                <w:szCs w:val="22"/>
              </w:rPr>
              <w:t xml:space="preserve"> )</w:t>
            </w:r>
          </w:p>
        </w:tc>
        <w:tc>
          <w:tcPr>
            <w:tcW w:w="0" w:type="auto"/>
            <w:gridSpan w:val="6"/>
            <w:tcMar>
              <w:top w:w="20" w:type="dxa"/>
              <w:left w:w="20" w:type="dxa"/>
              <w:bottom w:w="20" w:type="dxa"/>
              <w:right w:w="20" w:type="dxa"/>
            </w:tcMar>
            <w:vAlign w:val="center"/>
            <w:hideMark/>
          </w:tcPr>
          <w:p w:rsidR="003D46FD" w:rsidRPr="003D46FD" w:rsidRDefault="003D46FD">
            <w:pPr>
              <w:rPr>
                <w:rFonts w:ascii="Arial" w:hAnsi="Arial" w:cs="Arial"/>
                <w:sz w:val="22"/>
                <w:szCs w:val="22"/>
              </w:rPr>
            </w:pPr>
            <w:r w:rsidRPr="003D46FD">
              <w:rPr>
                <w:rFonts w:ascii="Arial" w:hAnsi="Arial" w:cs="Arial"/>
                <w:sz w:val="22"/>
                <w:szCs w:val="22"/>
              </w:rPr>
              <w:t>Public-private Partnerships; Providing legislative findings and intent relating to the construction or improvement by private entities of facilities used predominantly for a public purpose; providing for notice to affected local jurisdictions; providing for comprehensive agreements between a public and a private entity; providing for financing sources for certain projects by a private entity; providing for the applicability of sovereign immunity for public entities with respect to qualified projects, etc. Effective Date: July 1, 2013</w:t>
            </w:r>
          </w:p>
        </w:tc>
        <w:tc>
          <w:tcPr>
            <w:tcW w:w="0" w:type="auto"/>
            <w:vAlign w:val="center"/>
            <w:hideMark/>
          </w:tcPr>
          <w:p w:rsidR="003D46FD" w:rsidRPr="003D46FD" w:rsidRDefault="003D46FD">
            <w:pPr>
              <w:rPr>
                <w:sz w:val="22"/>
                <w:szCs w:val="22"/>
              </w:rPr>
            </w:pPr>
          </w:p>
        </w:tc>
      </w:tr>
      <w:tr w:rsidR="003D46FD">
        <w:trPr>
          <w:tblCellSpacing w:w="0" w:type="dxa"/>
          <w:jc w:val="center"/>
        </w:trPr>
        <w:tc>
          <w:tcPr>
            <w:tcW w:w="0" w:type="auto"/>
            <w:tcMar>
              <w:top w:w="20" w:type="dxa"/>
              <w:left w:w="20" w:type="dxa"/>
              <w:bottom w:w="20" w:type="dxa"/>
              <w:right w:w="20" w:type="dxa"/>
            </w:tcMar>
            <w:vAlign w:val="center"/>
            <w:hideMark/>
          </w:tcPr>
          <w:p w:rsidR="003D46FD" w:rsidRPr="003D46FD" w:rsidRDefault="003D46FD">
            <w:pPr>
              <w:rPr>
                <w:rFonts w:ascii="Arial" w:hAnsi="Arial" w:cs="Arial"/>
                <w:sz w:val="22"/>
                <w:szCs w:val="22"/>
              </w:rPr>
            </w:pPr>
          </w:p>
        </w:tc>
        <w:tc>
          <w:tcPr>
            <w:tcW w:w="0" w:type="auto"/>
            <w:gridSpan w:val="7"/>
            <w:tcMar>
              <w:top w:w="20" w:type="dxa"/>
              <w:left w:w="20" w:type="dxa"/>
              <w:bottom w:w="20" w:type="dxa"/>
              <w:right w:w="20" w:type="dxa"/>
            </w:tcMar>
            <w:vAlign w:val="center"/>
            <w:hideMark/>
          </w:tcPr>
          <w:tbl>
            <w:tblPr>
              <w:tblW w:w="0" w:type="auto"/>
              <w:tblCellSpacing w:w="0" w:type="dxa"/>
              <w:tblCellMar>
                <w:left w:w="0" w:type="dxa"/>
                <w:right w:w="0" w:type="dxa"/>
              </w:tblCellMar>
              <w:tblLook w:val="04A0"/>
            </w:tblPr>
            <w:tblGrid>
              <w:gridCol w:w="958"/>
              <w:gridCol w:w="1459"/>
            </w:tblGrid>
            <w:tr w:rsidR="003D46FD" w:rsidRPr="003D46FD">
              <w:trPr>
                <w:tblCellSpacing w:w="0" w:type="dxa"/>
              </w:trPr>
              <w:tc>
                <w:tcPr>
                  <w:tcW w:w="0" w:type="auto"/>
                  <w:tcMar>
                    <w:top w:w="20" w:type="dxa"/>
                    <w:left w:w="20" w:type="dxa"/>
                    <w:bottom w:w="20" w:type="dxa"/>
                    <w:right w:w="20" w:type="dxa"/>
                  </w:tcMar>
                  <w:hideMark/>
                </w:tcPr>
                <w:p w:rsidR="003D46FD" w:rsidRPr="003D46FD" w:rsidRDefault="003D46FD">
                  <w:pPr>
                    <w:rPr>
                      <w:rFonts w:ascii="Arial" w:hAnsi="Arial" w:cs="Arial"/>
                      <w:sz w:val="22"/>
                      <w:szCs w:val="22"/>
                    </w:rPr>
                  </w:pPr>
                  <w:r w:rsidRPr="003D46FD">
                    <w:rPr>
                      <w:rFonts w:ascii="Arial" w:hAnsi="Arial" w:cs="Arial"/>
                      <w:sz w:val="22"/>
                      <w:szCs w:val="22"/>
                    </w:rPr>
                    <w:t>11/29/12 </w:t>
                  </w:r>
                </w:p>
              </w:tc>
              <w:tc>
                <w:tcPr>
                  <w:tcW w:w="0" w:type="auto"/>
                  <w:tcMar>
                    <w:top w:w="20" w:type="dxa"/>
                    <w:left w:w="20" w:type="dxa"/>
                    <w:bottom w:w="20" w:type="dxa"/>
                    <w:right w:w="20" w:type="dxa"/>
                  </w:tcMar>
                  <w:vAlign w:val="center"/>
                  <w:hideMark/>
                </w:tcPr>
                <w:p w:rsidR="003D46FD" w:rsidRPr="003D46FD" w:rsidRDefault="003D46FD">
                  <w:pPr>
                    <w:rPr>
                      <w:rFonts w:ascii="Arial" w:hAnsi="Arial" w:cs="Arial"/>
                      <w:sz w:val="22"/>
                      <w:szCs w:val="22"/>
                    </w:rPr>
                  </w:pPr>
                  <w:r w:rsidRPr="003D46FD">
                    <w:rPr>
                      <w:rFonts w:ascii="Arial" w:hAnsi="Arial" w:cs="Arial"/>
                      <w:sz w:val="22"/>
                      <w:szCs w:val="22"/>
                    </w:rPr>
                    <w:t>SENATE Filed</w:t>
                  </w:r>
                </w:p>
              </w:tc>
            </w:tr>
          </w:tbl>
          <w:p w:rsidR="003D46FD" w:rsidRPr="003D46FD" w:rsidRDefault="003D46FD">
            <w:pPr>
              <w:rPr>
                <w:rFonts w:ascii="Arial" w:hAnsi="Arial" w:cs="Arial"/>
                <w:sz w:val="22"/>
                <w:szCs w:val="22"/>
              </w:rPr>
            </w:pPr>
          </w:p>
        </w:tc>
      </w:tr>
      <w:tr w:rsidR="003D46FD">
        <w:trPr>
          <w:tblCellSpacing w:w="0" w:type="dxa"/>
          <w:jc w:val="center"/>
        </w:trPr>
        <w:tc>
          <w:tcPr>
            <w:tcW w:w="0" w:type="auto"/>
            <w:tcMar>
              <w:top w:w="20" w:type="dxa"/>
              <w:left w:w="20" w:type="dxa"/>
              <w:bottom w:w="20" w:type="dxa"/>
              <w:right w:w="20" w:type="dxa"/>
            </w:tcMar>
            <w:vAlign w:val="center"/>
            <w:hideMark/>
          </w:tcPr>
          <w:p w:rsidR="003D46FD" w:rsidRPr="003D46FD" w:rsidRDefault="003D46FD">
            <w:pPr>
              <w:rPr>
                <w:rFonts w:ascii="Arial" w:hAnsi="Arial" w:cs="Arial"/>
                <w:sz w:val="22"/>
                <w:szCs w:val="22"/>
              </w:rPr>
            </w:pPr>
          </w:p>
        </w:tc>
        <w:tc>
          <w:tcPr>
            <w:tcW w:w="0" w:type="auto"/>
            <w:gridSpan w:val="7"/>
            <w:tcMar>
              <w:top w:w="20" w:type="dxa"/>
              <w:left w:w="20" w:type="dxa"/>
              <w:bottom w:w="20" w:type="dxa"/>
              <w:right w:w="20" w:type="dxa"/>
            </w:tcMar>
            <w:vAlign w:val="center"/>
            <w:hideMark/>
          </w:tcPr>
          <w:tbl>
            <w:tblPr>
              <w:tblW w:w="0" w:type="auto"/>
              <w:tblCellSpacing w:w="0" w:type="dxa"/>
              <w:tblCellMar>
                <w:left w:w="0" w:type="dxa"/>
                <w:right w:w="0" w:type="dxa"/>
              </w:tblCellMar>
              <w:tblLook w:val="04A0"/>
            </w:tblPr>
            <w:tblGrid>
              <w:gridCol w:w="958"/>
              <w:gridCol w:w="7632"/>
            </w:tblGrid>
            <w:tr w:rsidR="003D46FD" w:rsidRPr="003D46FD">
              <w:trPr>
                <w:tblCellSpacing w:w="0" w:type="dxa"/>
              </w:trPr>
              <w:tc>
                <w:tcPr>
                  <w:tcW w:w="0" w:type="auto"/>
                  <w:tcMar>
                    <w:top w:w="20" w:type="dxa"/>
                    <w:left w:w="20" w:type="dxa"/>
                    <w:bottom w:w="20" w:type="dxa"/>
                    <w:right w:w="20" w:type="dxa"/>
                  </w:tcMar>
                  <w:hideMark/>
                </w:tcPr>
                <w:p w:rsidR="003D46FD" w:rsidRPr="003D46FD" w:rsidRDefault="003D46FD">
                  <w:pPr>
                    <w:rPr>
                      <w:rFonts w:ascii="Arial" w:hAnsi="Arial" w:cs="Arial"/>
                      <w:sz w:val="22"/>
                      <w:szCs w:val="22"/>
                    </w:rPr>
                  </w:pPr>
                  <w:r w:rsidRPr="003D46FD">
                    <w:rPr>
                      <w:rFonts w:ascii="Arial" w:hAnsi="Arial" w:cs="Arial"/>
                      <w:sz w:val="22"/>
                      <w:szCs w:val="22"/>
                    </w:rPr>
                    <w:t>12/05/12 </w:t>
                  </w:r>
                </w:p>
              </w:tc>
              <w:tc>
                <w:tcPr>
                  <w:tcW w:w="0" w:type="auto"/>
                  <w:tcMar>
                    <w:top w:w="20" w:type="dxa"/>
                    <w:left w:w="20" w:type="dxa"/>
                    <w:bottom w:w="20" w:type="dxa"/>
                    <w:right w:w="20" w:type="dxa"/>
                  </w:tcMar>
                  <w:vAlign w:val="center"/>
                  <w:hideMark/>
                </w:tcPr>
                <w:p w:rsidR="003D46FD" w:rsidRPr="003D46FD" w:rsidRDefault="003D46FD">
                  <w:pPr>
                    <w:rPr>
                      <w:rFonts w:ascii="Arial" w:hAnsi="Arial" w:cs="Arial"/>
                      <w:sz w:val="22"/>
                      <w:szCs w:val="22"/>
                    </w:rPr>
                  </w:pPr>
                  <w:r w:rsidRPr="003D46FD">
                    <w:rPr>
                      <w:rFonts w:ascii="Arial" w:hAnsi="Arial" w:cs="Arial"/>
                      <w:sz w:val="22"/>
                      <w:szCs w:val="22"/>
                    </w:rPr>
                    <w:t>SENATE Referred to Community Affairs; Governmental Oversight and Accountability; Appropriations Subcommittee on General Government; Appropriations</w:t>
                  </w:r>
                </w:p>
              </w:tc>
            </w:tr>
          </w:tbl>
          <w:p w:rsidR="003D46FD" w:rsidRPr="003D46FD" w:rsidRDefault="003D46FD">
            <w:pPr>
              <w:rPr>
                <w:rFonts w:ascii="Arial" w:hAnsi="Arial" w:cs="Arial"/>
                <w:sz w:val="22"/>
                <w:szCs w:val="22"/>
              </w:rPr>
            </w:pPr>
          </w:p>
        </w:tc>
      </w:tr>
      <w:tr w:rsidR="003D46FD">
        <w:trPr>
          <w:tblCellSpacing w:w="0" w:type="dxa"/>
          <w:jc w:val="center"/>
        </w:trPr>
        <w:tc>
          <w:tcPr>
            <w:tcW w:w="0" w:type="auto"/>
            <w:tcBorders>
              <w:top w:val="single" w:sz="4" w:space="0" w:color="000000"/>
            </w:tcBorders>
            <w:shd w:val="clear" w:color="auto" w:fill="EEEEEE"/>
            <w:tcMar>
              <w:top w:w="20" w:type="dxa"/>
              <w:left w:w="20" w:type="dxa"/>
              <w:bottom w:w="20" w:type="dxa"/>
              <w:right w:w="20" w:type="dxa"/>
            </w:tcMar>
            <w:vAlign w:val="center"/>
            <w:hideMark/>
          </w:tcPr>
          <w:p w:rsidR="003D46FD" w:rsidRPr="003D46FD" w:rsidRDefault="003D46FD">
            <w:pPr>
              <w:rPr>
                <w:rFonts w:ascii="Arial" w:hAnsi="Arial" w:cs="Arial"/>
                <w:sz w:val="22"/>
                <w:szCs w:val="22"/>
              </w:rPr>
            </w:pPr>
            <w:r w:rsidRPr="00BA2D07">
              <w:rPr>
                <w:rFonts w:ascii="Arial" w:hAnsi="Arial" w:cs="Arial"/>
                <w:sz w:val="22"/>
                <w:szCs w:val="22"/>
              </w:rPr>
              <w:t>HB 0085</w:t>
            </w:r>
          </w:p>
        </w:tc>
        <w:tc>
          <w:tcPr>
            <w:tcW w:w="0" w:type="auto"/>
            <w:tcBorders>
              <w:top w:val="single" w:sz="4" w:space="0" w:color="000000"/>
            </w:tcBorders>
            <w:shd w:val="clear" w:color="auto" w:fill="EEEEEE"/>
            <w:tcMar>
              <w:top w:w="20" w:type="dxa"/>
              <w:left w:w="20" w:type="dxa"/>
              <w:bottom w:w="20" w:type="dxa"/>
              <w:right w:w="20" w:type="dxa"/>
            </w:tcMar>
            <w:vAlign w:val="center"/>
            <w:hideMark/>
          </w:tcPr>
          <w:p w:rsidR="003D46FD" w:rsidRPr="003D46FD" w:rsidRDefault="003D46FD">
            <w:pPr>
              <w:rPr>
                <w:rFonts w:ascii="Arial" w:hAnsi="Arial" w:cs="Arial"/>
                <w:b/>
                <w:bCs/>
                <w:sz w:val="22"/>
                <w:szCs w:val="22"/>
              </w:rPr>
            </w:pPr>
            <w:r w:rsidRPr="003D46FD">
              <w:rPr>
                <w:rFonts w:ascii="Arial" w:hAnsi="Arial" w:cs="Arial"/>
                <w:b/>
                <w:bCs/>
                <w:sz w:val="22"/>
                <w:szCs w:val="22"/>
              </w:rPr>
              <w:t>Relating to Public-Private Partnerships</w:t>
            </w:r>
          </w:p>
        </w:tc>
        <w:tc>
          <w:tcPr>
            <w:tcW w:w="0" w:type="auto"/>
            <w:tcBorders>
              <w:top w:val="single" w:sz="4" w:space="0" w:color="000000"/>
            </w:tcBorders>
            <w:shd w:val="clear" w:color="auto" w:fill="EEEEEE"/>
            <w:tcMar>
              <w:top w:w="20" w:type="dxa"/>
              <w:left w:w="20" w:type="dxa"/>
              <w:bottom w:w="20" w:type="dxa"/>
              <w:right w:w="20" w:type="dxa"/>
            </w:tcMar>
            <w:vAlign w:val="center"/>
            <w:hideMark/>
          </w:tcPr>
          <w:p w:rsidR="003D46FD" w:rsidRPr="003D46FD" w:rsidRDefault="003D46FD">
            <w:pPr>
              <w:rPr>
                <w:rFonts w:ascii="Arial" w:hAnsi="Arial" w:cs="Arial"/>
                <w:sz w:val="22"/>
                <w:szCs w:val="22"/>
              </w:rPr>
            </w:pPr>
            <w:r w:rsidRPr="00BA2D07">
              <w:rPr>
                <w:rFonts w:ascii="Arial" w:hAnsi="Arial" w:cs="Arial"/>
                <w:sz w:val="22"/>
                <w:szCs w:val="22"/>
              </w:rPr>
              <w:t>Steube</w:t>
            </w:r>
            <w:r w:rsidRPr="003D46FD">
              <w:rPr>
                <w:rFonts w:ascii="Arial" w:hAnsi="Arial" w:cs="Arial"/>
                <w:sz w:val="22"/>
                <w:szCs w:val="22"/>
              </w:rPr>
              <w:t xml:space="preserve"> </w:t>
            </w:r>
          </w:p>
        </w:tc>
        <w:tc>
          <w:tcPr>
            <w:tcW w:w="0" w:type="auto"/>
            <w:tcBorders>
              <w:top w:val="single" w:sz="4" w:space="0" w:color="000000"/>
            </w:tcBorders>
            <w:shd w:val="clear" w:color="auto" w:fill="EEEEEE"/>
            <w:tcMar>
              <w:top w:w="20" w:type="dxa"/>
              <w:left w:w="20" w:type="dxa"/>
              <w:bottom w:w="20" w:type="dxa"/>
              <w:right w:w="20" w:type="dxa"/>
            </w:tcMar>
            <w:vAlign w:val="center"/>
            <w:hideMark/>
          </w:tcPr>
          <w:p w:rsidR="003D46FD" w:rsidRPr="003D46FD" w:rsidRDefault="003D46FD">
            <w:pPr>
              <w:rPr>
                <w:rFonts w:ascii="Arial" w:hAnsi="Arial" w:cs="Arial"/>
                <w:sz w:val="22"/>
                <w:szCs w:val="22"/>
              </w:rPr>
            </w:pPr>
            <w:r w:rsidRPr="003D46FD">
              <w:rPr>
                <w:rFonts w:ascii="Arial" w:hAnsi="Arial" w:cs="Arial"/>
                <w:sz w:val="22"/>
                <w:szCs w:val="22"/>
              </w:rPr>
              <w:t>01/11/13</w:t>
            </w:r>
          </w:p>
        </w:tc>
        <w:tc>
          <w:tcPr>
            <w:tcW w:w="0" w:type="auto"/>
            <w:tcBorders>
              <w:top w:val="single" w:sz="4" w:space="0" w:color="000000"/>
            </w:tcBorders>
            <w:shd w:val="clear" w:color="auto" w:fill="EEEEEE"/>
            <w:tcMar>
              <w:top w:w="20" w:type="dxa"/>
              <w:left w:w="20" w:type="dxa"/>
              <w:bottom w:w="20" w:type="dxa"/>
              <w:right w:w="20" w:type="dxa"/>
            </w:tcMar>
            <w:vAlign w:val="center"/>
            <w:hideMark/>
          </w:tcPr>
          <w:p w:rsidR="003D46FD" w:rsidRPr="003D46FD" w:rsidRDefault="00B65B83">
            <w:pPr>
              <w:rPr>
                <w:rFonts w:ascii="Arial" w:hAnsi="Arial" w:cs="Arial"/>
                <w:sz w:val="22"/>
                <w:szCs w:val="22"/>
              </w:rPr>
            </w:pPr>
            <w:r w:rsidRPr="00B65B83">
              <w:rPr>
                <w:rFonts w:ascii="Arial" w:hAnsi="Arial" w:cs="Arial"/>
              </w:rPr>
              <w:pict>
                <v:shape id="_x0000_i1031" type="#_x0000_t75" style="width:16.5pt;height:14pt">
                  <v:imagedata r:id="rId7" o:title=""/>
                </v:shape>
              </w:pict>
            </w:r>
          </w:p>
        </w:tc>
        <w:tc>
          <w:tcPr>
            <w:tcW w:w="0" w:type="auto"/>
            <w:tcBorders>
              <w:top w:val="single" w:sz="4" w:space="0" w:color="000000"/>
            </w:tcBorders>
            <w:shd w:val="clear" w:color="auto" w:fill="EEEEEE"/>
            <w:tcMar>
              <w:top w:w="20" w:type="dxa"/>
              <w:left w:w="20" w:type="dxa"/>
              <w:bottom w:w="20" w:type="dxa"/>
              <w:right w:w="20" w:type="dxa"/>
            </w:tcMar>
            <w:vAlign w:val="center"/>
            <w:hideMark/>
          </w:tcPr>
          <w:p w:rsidR="003D46FD" w:rsidRPr="003D46FD" w:rsidRDefault="003D46FD">
            <w:pPr>
              <w:rPr>
                <w:rFonts w:ascii="Arial" w:hAnsi="Arial" w:cs="Arial"/>
                <w:sz w:val="22"/>
                <w:szCs w:val="22"/>
              </w:rPr>
            </w:pPr>
            <w:r w:rsidRPr="003D46FD">
              <w:rPr>
                <w:rFonts w:ascii="Arial" w:hAnsi="Arial" w:cs="Arial"/>
                <w:sz w:val="22"/>
                <w:szCs w:val="22"/>
              </w:rPr>
              <w:t> </w:t>
            </w:r>
          </w:p>
        </w:tc>
        <w:tc>
          <w:tcPr>
            <w:tcW w:w="0" w:type="auto"/>
            <w:tcBorders>
              <w:top w:val="single" w:sz="4" w:space="0" w:color="000000"/>
            </w:tcBorders>
            <w:shd w:val="clear" w:color="auto" w:fill="EEEEEE"/>
            <w:tcMar>
              <w:top w:w="20" w:type="dxa"/>
              <w:left w:w="20" w:type="dxa"/>
              <w:bottom w:w="20" w:type="dxa"/>
              <w:right w:w="20" w:type="dxa"/>
            </w:tcMar>
            <w:vAlign w:val="center"/>
            <w:hideMark/>
          </w:tcPr>
          <w:p w:rsidR="003D46FD" w:rsidRPr="003D46FD" w:rsidRDefault="003D46FD">
            <w:pPr>
              <w:jc w:val="center"/>
              <w:rPr>
                <w:rFonts w:ascii="Arial" w:hAnsi="Arial" w:cs="Arial"/>
                <w:sz w:val="22"/>
                <w:szCs w:val="22"/>
              </w:rPr>
            </w:pPr>
            <w:r w:rsidRPr="003D46FD">
              <w:rPr>
                <w:rFonts w:ascii="Arial" w:hAnsi="Arial" w:cs="Arial"/>
                <w:noProof/>
                <w:color w:val="003366"/>
                <w:sz w:val="22"/>
                <w:szCs w:val="22"/>
              </w:rPr>
              <w:drawing>
                <wp:inline distT="0" distB="0" distL="0" distR="0">
                  <wp:extent cx="133350" cy="133350"/>
                  <wp:effectExtent l="19050" t="0" r="0" b="0"/>
                  <wp:docPr id="11" name="Picture 11" descr="ADD 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DD NOTE">
                            <a:hlinkClick r:id="rId20"/>
                          </pic:cNvPr>
                          <pic:cNvPicPr>
                            <a:picLocks noChangeAspect="1" noChangeArrowheads="1"/>
                          </pic:cNvPicPr>
                        </pic:nvPicPr>
                        <pic:blipFill>
                          <a:blip r:embed="rId9"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p>
        </w:tc>
        <w:tc>
          <w:tcPr>
            <w:tcW w:w="0" w:type="auto"/>
            <w:tcBorders>
              <w:top w:val="single" w:sz="4" w:space="0" w:color="000000"/>
            </w:tcBorders>
            <w:shd w:val="clear" w:color="auto" w:fill="EEEEEE"/>
            <w:tcMar>
              <w:top w:w="20" w:type="dxa"/>
              <w:left w:w="20" w:type="dxa"/>
              <w:bottom w:w="20" w:type="dxa"/>
              <w:right w:w="20" w:type="dxa"/>
            </w:tcMar>
            <w:vAlign w:val="center"/>
            <w:hideMark/>
          </w:tcPr>
          <w:p w:rsidR="003D46FD" w:rsidRPr="003D46FD" w:rsidRDefault="003D46FD">
            <w:pPr>
              <w:jc w:val="center"/>
              <w:rPr>
                <w:rFonts w:ascii="Arial" w:hAnsi="Arial" w:cs="Arial"/>
                <w:sz w:val="22"/>
                <w:szCs w:val="22"/>
              </w:rPr>
            </w:pPr>
            <w:r w:rsidRPr="003D46FD">
              <w:rPr>
                <w:rFonts w:ascii="Arial" w:hAnsi="Arial" w:cs="Arial"/>
                <w:noProof/>
                <w:color w:val="003366"/>
                <w:sz w:val="22"/>
                <w:szCs w:val="22"/>
              </w:rPr>
              <w:drawing>
                <wp:inline distT="0" distB="0" distL="0" distR="0">
                  <wp:extent cx="114300" cy="114300"/>
                  <wp:effectExtent l="19050" t="0" r="0" b="0"/>
                  <wp:docPr id="12" name="Picture 12" descr="http://static.lobbytools.com/images/ico_dele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tatic.lobbytools.com/images/ico_delete.gif">
                            <a:hlinkClick r:id="rId21"/>
                          </pic:cNvPr>
                          <pic:cNvPicPr>
                            <a:picLocks noChangeAspect="1" noChangeArrowheads="1"/>
                          </pic:cNvPicPr>
                        </pic:nvPicPr>
                        <pic:blipFill>
                          <a:blip r:embed="rId11"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p>
        </w:tc>
      </w:tr>
      <w:tr w:rsidR="003D46FD">
        <w:trPr>
          <w:tblCellSpacing w:w="0" w:type="dxa"/>
          <w:jc w:val="center"/>
        </w:trPr>
        <w:tc>
          <w:tcPr>
            <w:tcW w:w="0" w:type="auto"/>
            <w:tcMar>
              <w:top w:w="20" w:type="dxa"/>
              <w:left w:w="20" w:type="dxa"/>
              <w:bottom w:w="20" w:type="dxa"/>
              <w:right w:w="20" w:type="dxa"/>
            </w:tcMar>
            <w:vAlign w:val="center"/>
            <w:hideMark/>
          </w:tcPr>
          <w:p w:rsidR="003D46FD" w:rsidRPr="003D46FD" w:rsidRDefault="003D46FD">
            <w:pPr>
              <w:rPr>
                <w:rFonts w:ascii="Arial" w:hAnsi="Arial" w:cs="Arial"/>
                <w:sz w:val="22"/>
                <w:szCs w:val="22"/>
              </w:rPr>
            </w:pPr>
            <w:r w:rsidRPr="003D46FD">
              <w:rPr>
                <w:rFonts w:ascii="Arial" w:hAnsi="Arial" w:cs="Arial"/>
                <w:sz w:val="22"/>
                <w:szCs w:val="22"/>
              </w:rPr>
              <w:t>(</w:t>
            </w:r>
            <w:r w:rsidRPr="003D46FD">
              <w:rPr>
                <w:rFonts w:ascii="Arial" w:hAnsi="Arial" w:cs="Arial"/>
                <w:b/>
                <w:bCs/>
                <w:sz w:val="22"/>
                <w:szCs w:val="22"/>
              </w:rPr>
              <w:t>C:</w:t>
            </w:r>
            <w:r w:rsidRPr="003D46FD">
              <w:rPr>
                <w:rFonts w:ascii="Arial" w:hAnsi="Arial" w:cs="Arial"/>
                <w:sz w:val="22"/>
                <w:szCs w:val="22"/>
              </w:rPr>
              <w:t xml:space="preserve"> </w:t>
            </w:r>
            <w:r w:rsidRPr="00BA2D07">
              <w:rPr>
                <w:rFonts w:ascii="Arial" w:hAnsi="Arial" w:cs="Arial"/>
                <w:sz w:val="22"/>
                <w:szCs w:val="22"/>
              </w:rPr>
              <w:t>0238</w:t>
            </w:r>
            <w:r w:rsidRPr="003D46FD">
              <w:rPr>
                <w:rFonts w:ascii="Arial" w:hAnsi="Arial" w:cs="Arial"/>
                <w:sz w:val="22"/>
                <w:szCs w:val="22"/>
              </w:rPr>
              <w:t xml:space="preserve"> )</w:t>
            </w:r>
            <w:r w:rsidRPr="003D46FD">
              <w:rPr>
                <w:rFonts w:ascii="Arial" w:hAnsi="Arial" w:cs="Arial"/>
                <w:sz w:val="22"/>
                <w:szCs w:val="22"/>
              </w:rPr>
              <w:br/>
              <w:t>(</w:t>
            </w:r>
            <w:r w:rsidRPr="003D46FD">
              <w:rPr>
                <w:rFonts w:ascii="Arial" w:hAnsi="Arial" w:cs="Arial"/>
                <w:b/>
                <w:bCs/>
                <w:sz w:val="22"/>
                <w:szCs w:val="22"/>
              </w:rPr>
              <w:t>S:</w:t>
            </w:r>
            <w:r w:rsidRPr="003D46FD">
              <w:rPr>
                <w:rFonts w:ascii="Arial" w:hAnsi="Arial" w:cs="Arial"/>
                <w:sz w:val="22"/>
                <w:szCs w:val="22"/>
              </w:rPr>
              <w:t xml:space="preserve"> </w:t>
            </w:r>
            <w:r w:rsidRPr="00BA2D07">
              <w:rPr>
                <w:rFonts w:ascii="Arial" w:hAnsi="Arial" w:cs="Arial"/>
                <w:sz w:val="22"/>
                <w:szCs w:val="22"/>
              </w:rPr>
              <w:t>0084</w:t>
            </w:r>
            <w:r w:rsidRPr="003D46FD">
              <w:rPr>
                <w:rFonts w:ascii="Arial" w:hAnsi="Arial" w:cs="Arial"/>
                <w:sz w:val="22"/>
                <w:szCs w:val="22"/>
              </w:rPr>
              <w:t xml:space="preserve"> )</w:t>
            </w:r>
          </w:p>
        </w:tc>
        <w:tc>
          <w:tcPr>
            <w:tcW w:w="0" w:type="auto"/>
            <w:gridSpan w:val="6"/>
            <w:tcMar>
              <w:top w:w="20" w:type="dxa"/>
              <w:left w:w="20" w:type="dxa"/>
              <w:bottom w:w="20" w:type="dxa"/>
              <w:right w:w="20" w:type="dxa"/>
            </w:tcMar>
            <w:vAlign w:val="center"/>
            <w:hideMark/>
          </w:tcPr>
          <w:p w:rsidR="003D46FD" w:rsidRPr="003D46FD" w:rsidRDefault="003D46FD">
            <w:pPr>
              <w:rPr>
                <w:rFonts w:ascii="Arial" w:hAnsi="Arial" w:cs="Arial"/>
                <w:sz w:val="22"/>
                <w:szCs w:val="22"/>
              </w:rPr>
            </w:pPr>
            <w:r w:rsidRPr="003D46FD">
              <w:rPr>
                <w:rFonts w:ascii="Arial" w:hAnsi="Arial" w:cs="Arial"/>
                <w:sz w:val="22"/>
                <w:szCs w:val="22"/>
              </w:rPr>
              <w:t>Public-Private Partnerships: Provides legislative findings &amp; intent relating to construction or improvement by private entities of facilities used predominantly for public purposes; provides for procurement procedures, requirements for project approval, project qualifications &amp; process, notice to affected local jurisdictions, comprehensive agreements between public &amp; private entities, use fees, financing sources for certain projects by private entities, &amp; applicability of sovereign immunity for public entities with respect to qualified projects. Effective Date: July 1, 2013</w:t>
            </w:r>
          </w:p>
        </w:tc>
        <w:tc>
          <w:tcPr>
            <w:tcW w:w="0" w:type="auto"/>
            <w:vAlign w:val="center"/>
            <w:hideMark/>
          </w:tcPr>
          <w:p w:rsidR="003D46FD" w:rsidRPr="003D46FD" w:rsidRDefault="003D46FD">
            <w:pPr>
              <w:rPr>
                <w:sz w:val="22"/>
                <w:szCs w:val="22"/>
              </w:rPr>
            </w:pPr>
          </w:p>
        </w:tc>
      </w:tr>
      <w:tr w:rsidR="003D46FD">
        <w:trPr>
          <w:tblCellSpacing w:w="0" w:type="dxa"/>
          <w:jc w:val="center"/>
        </w:trPr>
        <w:tc>
          <w:tcPr>
            <w:tcW w:w="0" w:type="auto"/>
            <w:tcMar>
              <w:top w:w="20" w:type="dxa"/>
              <w:left w:w="20" w:type="dxa"/>
              <w:bottom w:w="20" w:type="dxa"/>
              <w:right w:w="20" w:type="dxa"/>
            </w:tcMar>
            <w:vAlign w:val="center"/>
            <w:hideMark/>
          </w:tcPr>
          <w:p w:rsidR="003D46FD" w:rsidRPr="003D46FD" w:rsidRDefault="003D46FD">
            <w:pPr>
              <w:rPr>
                <w:rFonts w:ascii="Arial" w:hAnsi="Arial" w:cs="Arial"/>
                <w:sz w:val="22"/>
                <w:szCs w:val="22"/>
              </w:rPr>
            </w:pPr>
          </w:p>
        </w:tc>
        <w:tc>
          <w:tcPr>
            <w:tcW w:w="0" w:type="auto"/>
            <w:gridSpan w:val="7"/>
            <w:tcMar>
              <w:top w:w="20" w:type="dxa"/>
              <w:left w:w="20" w:type="dxa"/>
              <w:bottom w:w="20" w:type="dxa"/>
              <w:right w:w="20" w:type="dxa"/>
            </w:tcMar>
            <w:vAlign w:val="center"/>
            <w:hideMark/>
          </w:tcPr>
          <w:tbl>
            <w:tblPr>
              <w:tblW w:w="0" w:type="auto"/>
              <w:tblCellSpacing w:w="0" w:type="dxa"/>
              <w:tblCellMar>
                <w:left w:w="0" w:type="dxa"/>
                <w:right w:w="0" w:type="dxa"/>
              </w:tblCellMar>
              <w:tblLook w:val="04A0"/>
            </w:tblPr>
            <w:tblGrid>
              <w:gridCol w:w="958"/>
              <w:gridCol w:w="1361"/>
            </w:tblGrid>
            <w:tr w:rsidR="003D46FD" w:rsidRPr="003D46FD">
              <w:trPr>
                <w:tblCellSpacing w:w="0" w:type="dxa"/>
              </w:trPr>
              <w:tc>
                <w:tcPr>
                  <w:tcW w:w="0" w:type="auto"/>
                  <w:tcMar>
                    <w:top w:w="20" w:type="dxa"/>
                    <w:left w:w="20" w:type="dxa"/>
                    <w:bottom w:w="20" w:type="dxa"/>
                    <w:right w:w="20" w:type="dxa"/>
                  </w:tcMar>
                  <w:hideMark/>
                </w:tcPr>
                <w:p w:rsidR="003D46FD" w:rsidRPr="003D46FD" w:rsidRDefault="003D46FD">
                  <w:pPr>
                    <w:rPr>
                      <w:rFonts w:ascii="Arial" w:hAnsi="Arial" w:cs="Arial"/>
                      <w:sz w:val="22"/>
                      <w:szCs w:val="22"/>
                    </w:rPr>
                  </w:pPr>
                  <w:r w:rsidRPr="003D46FD">
                    <w:rPr>
                      <w:rFonts w:ascii="Arial" w:hAnsi="Arial" w:cs="Arial"/>
                      <w:sz w:val="22"/>
                      <w:szCs w:val="22"/>
                    </w:rPr>
                    <w:t>01/03/13 </w:t>
                  </w:r>
                </w:p>
              </w:tc>
              <w:tc>
                <w:tcPr>
                  <w:tcW w:w="0" w:type="auto"/>
                  <w:tcMar>
                    <w:top w:w="20" w:type="dxa"/>
                    <w:left w:w="20" w:type="dxa"/>
                    <w:bottom w:w="20" w:type="dxa"/>
                    <w:right w:w="20" w:type="dxa"/>
                  </w:tcMar>
                  <w:vAlign w:val="center"/>
                  <w:hideMark/>
                </w:tcPr>
                <w:p w:rsidR="003D46FD" w:rsidRPr="003D46FD" w:rsidRDefault="003D46FD">
                  <w:pPr>
                    <w:rPr>
                      <w:rFonts w:ascii="Arial" w:hAnsi="Arial" w:cs="Arial"/>
                      <w:sz w:val="22"/>
                      <w:szCs w:val="22"/>
                    </w:rPr>
                  </w:pPr>
                  <w:r w:rsidRPr="003D46FD">
                    <w:rPr>
                      <w:rFonts w:ascii="Arial" w:hAnsi="Arial" w:cs="Arial"/>
                      <w:sz w:val="22"/>
                      <w:szCs w:val="22"/>
                    </w:rPr>
                    <w:t>HOUSE Filed</w:t>
                  </w:r>
                </w:p>
              </w:tc>
            </w:tr>
          </w:tbl>
          <w:p w:rsidR="003D46FD" w:rsidRPr="003D46FD" w:rsidRDefault="003D46FD">
            <w:pPr>
              <w:rPr>
                <w:rFonts w:ascii="Arial" w:hAnsi="Arial" w:cs="Arial"/>
                <w:sz w:val="22"/>
                <w:szCs w:val="22"/>
              </w:rPr>
            </w:pPr>
          </w:p>
        </w:tc>
      </w:tr>
      <w:tr w:rsidR="003D46FD">
        <w:trPr>
          <w:tblCellSpacing w:w="0" w:type="dxa"/>
          <w:jc w:val="center"/>
        </w:trPr>
        <w:tc>
          <w:tcPr>
            <w:tcW w:w="0" w:type="auto"/>
            <w:tcMar>
              <w:top w:w="20" w:type="dxa"/>
              <w:left w:w="20" w:type="dxa"/>
              <w:bottom w:w="20" w:type="dxa"/>
              <w:right w:w="20" w:type="dxa"/>
            </w:tcMar>
            <w:vAlign w:val="center"/>
            <w:hideMark/>
          </w:tcPr>
          <w:p w:rsidR="003D46FD" w:rsidRPr="003D46FD" w:rsidRDefault="003D46FD">
            <w:pPr>
              <w:rPr>
                <w:rFonts w:ascii="Arial" w:hAnsi="Arial" w:cs="Arial"/>
                <w:sz w:val="22"/>
                <w:szCs w:val="22"/>
              </w:rPr>
            </w:pPr>
          </w:p>
        </w:tc>
        <w:tc>
          <w:tcPr>
            <w:tcW w:w="0" w:type="auto"/>
            <w:gridSpan w:val="7"/>
            <w:tcMar>
              <w:top w:w="20" w:type="dxa"/>
              <w:left w:w="20" w:type="dxa"/>
              <w:bottom w:w="20" w:type="dxa"/>
              <w:right w:w="20" w:type="dxa"/>
            </w:tcMar>
            <w:vAlign w:val="center"/>
            <w:hideMark/>
          </w:tcPr>
          <w:tbl>
            <w:tblPr>
              <w:tblW w:w="0" w:type="auto"/>
              <w:tblCellSpacing w:w="0" w:type="dxa"/>
              <w:tblCellMar>
                <w:left w:w="0" w:type="dxa"/>
                <w:right w:w="0" w:type="dxa"/>
              </w:tblCellMar>
              <w:tblLook w:val="04A0"/>
            </w:tblPr>
            <w:tblGrid>
              <w:gridCol w:w="958"/>
              <w:gridCol w:w="7632"/>
            </w:tblGrid>
            <w:tr w:rsidR="003D46FD" w:rsidRPr="003D46FD">
              <w:trPr>
                <w:tblCellSpacing w:w="0" w:type="dxa"/>
              </w:trPr>
              <w:tc>
                <w:tcPr>
                  <w:tcW w:w="0" w:type="auto"/>
                  <w:tcMar>
                    <w:top w:w="20" w:type="dxa"/>
                    <w:left w:w="20" w:type="dxa"/>
                    <w:bottom w:w="20" w:type="dxa"/>
                    <w:right w:w="20" w:type="dxa"/>
                  </w:tcMar>
                  <w:hideMark/>
                </w:tcPr>
                <w:p w:rsidR="003D46FD" w:rsidRPr="003D46FD" w:rsidRDefault="003D46FD">
                  <w:pPr>
                    <w:rPr>
                      <w:rFonts w:ascii="Arial" w:hAnsi="Arial" w:cs="Arial"/>
                      <w:sz w:val="22"/>
                      <w:szCs w:val="22"/>
                    </w:rPr>
                  </w:pPr>
                  <w:r w:rsidRPr="003D46FD">
                    <w:rPr>
                      <w:rFonts w:ascii="Arial" w:hAnsi="Arial" w:cs="Arial"/>
                      <w:sz w:val="22"/>
                      <w:szCs w:val="22"/>
                    </w:rPr>
                    <w:t>01/11/13 </w:t>
                  </w:r>
                </w:p>
              </w:tc>
              <w:tc>
                <w:tcPr>
                  <w:tcW w:w="0" w:type="auto"/>
                  <w:tcMar>
                    <w:top w:w="20" w:type="dxa"/>
                    <w:left w:w="20" w:type="dxa"/>
                    <w:bottom w:w="20" w:type="dxa"/>
                    <w:right w:w="20" w:type="dxa"/>
                  </w:tcMar>
                  <w:vAlign w:val="center"/>
                  <w:hideMark/>
                </w:tcPr>
                <w:p w:rsidR="003D46FD" w:rsidRPr="003D46FD" w:rsidRDefault="003D46FD">
                  <w:pPr>
                    <w:rPr>
                      <w:rFonts w:ascii="Arial" w:hAnsi="Arial" w:cs="Arial"/>
                      <w:sz w:val="22"/>
                      <w:szCs w:val="22"/>
                    </w:rPr>
                  </w:pPr>
                  <w:r w:rsidRPr="003D46FD">
                    <w:rPr>
                      <w:rFonts w:ascii="Arial" w:hAnsi="Arial" w:cs="Arial"/>
                      <w:sz w:val="22"/>
                      <w:szCs w:val="22"/>
                    </w:rPr>
                    <w:t xml:space="preserve">HOUSE Referred to Government Operations Subcommittee; Appropriations Committee; State Affairs Committee </w:t>
                  </w:r>
                </w:p>
              </w:tc>
            </w:tr>
          </w:tbl>
          <w:p w:rsidR="003D46FD" w:rsidRPr="003D46FD" w:rsidRDefault="003D46FD">
            <w:pPr>
              <w:rPr>
                <w:rFonts w:ascii="Arial" w:hAnsi="Arial" w:cs="Arial"/>
                <w:sz w:val="22"/>
                <w:szCs w:val="22"/>
              </w:rPr>
            </w:pPr>
          </w:p>
        </w:tc>
      </w:tr>
      <w:tr w:rsidR="003D46FD">
        <w:trPr>
          <w:tblCellSpacing w:w="0" w:type="dxa"/>
          <w:jc w:val="center"/>
        </w:trPr>
        <w:tc>
          <w:tcPr>
            <w:tcW w:w="0" w:type="auto"/>
            <w:tcMar>
              <w:top w:w="20" w:type="dxa"/>
              <w:left w:w="20" w:type="dxa"/>
              <w:bottom w:w="20" w:type="dxa"/>
              <w:right w:w="20" w:type="dxa"/>
            </w:tcMar>
            <w:vAlign w:val="center"/>
            <w:hideMark/>
          </w:tcPr>
          <w:p w:rsidR="003D46FD" w:rsidRPr="003D46FD" w:rsidRDefault="003D46FD">
            <w:pPr>
              <w:rPr>
                <w:rFonts w:ascii="Arial" w:hAnsi="Arial" w:cs="Arial"/>
                <w:sz w:val="22"/>
                <w:szCs w:val="22"/>
              </w:rPr>
            </w:pPr>
          </w:p>
        </w:tc>
        <w:tc>
          <w:tcPr>
            <w:tcW w:w="0" w:type="auto"/>
            <w:gridSpan w:val="7"/>
            <w:tcMar>
              <w:top w:w="20" w:type="dxa"/>
              <w:left w:w="20" w:type="dxa"/>
              <w:bottom w:w="20" w:type="dxa"/>
              <w:right w:w="20" w:type="dxa"/>
            </w:tcMar>
            <w:vAlign w:val="center"/>
            <w:hideMark/>
          </w:tcPr>
          <w:tbl>
            <w:tblPr>
              <w:tblW w:w="0" w:type="auto"/>
              <w:tblCellSpacing w:w="0" w:type="dxa"/>
              <w:tblCellMar>
                <w:left w:w="0" w:type="dxa"/>
                <w:right w:w="0" w:type="dxa"/>
              </w:tblCellMar>
              <w:tblLook w:val="04A0"/>
            </w:tblPr>
            <w:tblGrid>
              <w:gridCol w:w="958"/>
              <w:gridCol w:w="5433"/>
            </w:tblGrid>
            <w:tr w:rsidR="003D46FD" w:rsidRPr="003D46FD">
              <w:trPr>
                <w:tblCellSpacing w:w="0" w:type="dxa"/>
              </w:trPr>
              <w:tc>
                <w:tcPr>
                  <w:tcW w:w="0" w:type="auto"/>
                  <w:tcMar>
                    <w:top w:w="20" w:type="dxa"/>
                    <w:left w:w="20" w:type="dxa"/>
                    <w:bottom w:w="20" w:type="dxa"/>
                    <w:right w:w="20" w:type="dxa"/>
                  </w:tcMar>
                  <w:hideMark/>
                </w:tcPr>
                <w:p w:rsidR="003D46FD" w:rsidRPr="003D46FD" w:rsidRDefault="003D46FD">
                  <w:pPr>
                    <w:rPr>
                      <w:rFonts w:ascii="Arial" w:hAnsi="Arial" w:cs="Arial"/>
                      <w:sz w:val="22"/>
                      <w:szCs w:val="22"/>
                    </w:rPr>
                  </w:pPr>
                  <w:r w:rsidRPr="003D46FD">
                    <w:rPr>
                      <w:rFonts w:ascii="Arial" w:hAnsi="Arial" w:cs="Arial"/>
                      <w:sz w:val="22"/>
                      <w:szCs w:val="22"/>
                    </w:rPr>
                    <w:t>01/11/13 </w:t>
                  </w:r>
                </w:p>
              </w:tc>
              <w:tc>
                <w:tcPr>
                  <w:tcW w:w="0" w:type="auto"/>
                  <w:tcMar>
                    <w:top w:w="20" w:type="dxa"/>
                    <w:left w:w="20" w:type="dxa"/>
                    <w:bottom w:w="20" w:type="dxa"/>
                    <w:right w:w="20" w:type="dxa"/>
                  </w:tcMar>
                  <w:vAlign w:val="center"/>
                  <w:hideMark/>
                </w:tcPr>
                <w:p w:rsidR="003D46FD" w:rsidRPr="003D46FD" w:rsidRDefault="003D46FD">
                  <w:pPr>
                    <w:rPr>
                      <w:rFonts w:ascii="Arial" w:hAnsi="Arial" w:cs="Arial"/>
                      <w:sz w:val="22"/>
                      <w:szCs w:val="22"/>
                    </w:rPr>
                  </w:pPr>
                  <w:r w:rsidRPr="003D46FD">
                    <w:rPr>
                      <w:rFonts w:ascii="Arial" w:hAnsi="Arial" w:cs="Arial"/>
                      <w:sz w:val="22"/>
                      <w:szCs w:val="22"/>
                    </w:rPr>
                    <w:t>HOUSE Now in Government Operations Subcommittee</w:t>
                  </w:r>
                </w:p>
              </w:tc>
            </w:tr>
          </w:tbl>
          <w:p w:rsidR="003D46FD" w:rsidRPr="003D46FD" w:rsidRDefault="003D46FD">
            <w:pPr>
              <w:rPr>
                <w:rFonts w:ascii="Arial" w:hAnsi="Arial" w:cs="Arial"/>
                <w:sz w:val="22"/>
                <w:szCs w:val="22"/>
              </w:rPr>
            </w:pPr>
          </w:p>
        </w:tc>
      </w:tr>
      <w:tr w:rsidR="003D46FD">
        <w:trPr>
          <w:tblCellSpacing w:w="0" w:type="dxa"/>
          <w:jc w:val="center"/>
        </w:trPr>
        <w:tc>
          <w:tcPr>
            <w:tcW w:w="0" w:type="auto"/>
            <w:tcBorders>
              <w:top w:val="single" w:sz="4" w:space="0" w:color="000000"/>
            </w:tcBorders>
            <w:shd w:val="clear" w:color="auto" w:fill="EEEEEE"/>
            <w:tcMar>
              <w:top w:w="20" w:type="dxa"/>
              <w:left w:w="20" w:type="dxa"/>
              <w:bottom w:w="20" w:type="dxa"/>
              <w:right w:w="20" w:type="dxa"/>
            </w:tcMar>
            <w:vAlign w:val="center"/>
            <w:hideMark/>
          </w:tcPr>
          <w:p w:rsidR="003D46FD" w:rsidRPr="003D46FD" w:rsidRDefault="003D46FD">
            <w:pPr>
              <w:rPr>
                <w:rFonts w:ascii="Arial" w:hAnsi="Arial" w:cs="Arial"/>
                <w:sz w:val="22"/>
                <w:szCs w:val="22"/>
              </w:rPr>
            </w:pPr>
            <w:r w:rsidRPr="00BA2D07">
              <w:rPr>
                <w:rFonts w:ascii="Arial" w:hAnsi="Arial" w:cs="Arial"/>
                <w:sz w:val="22"/>
                <w:szCs w:val="22"/>
              </w:rPr>
              <w:t>HB 0087</w:t>
            </w:r>
          </w:p>
        </w:tc>
        <w:tc>
          <w:tcPr>
            <w:tcW w:w="0" w:type="auto"/>
            <w:tcBorders>
              <w:top w:val="single" w:sz="4" w:space="0" w:color="000000"/>
            </w:tcBorders>
            <w:shd w:val="clear" w:color="auto" w:fill="EEEEEE"/>
            <w:tcMar>
              <w:top w:w="20" w:type="dxa"/>
              <w:left w:w="20" w:type="dxa"/>
              <w:bottom w:w="20" w:type="dxa"/>
              <w:right w:w="20" w:type="dxa"/>
            </w:tcMar>
            <w:vAlign w:val="center"/>
            <w:hideMark/>
          </w:tcPr>
          <w:p w:rsidR="003D46FD" w:rsidRPr="003D46FD" w:rsidRDefault="003D46FD">
            <w:pPr>
              <w:rPr>
                <w:rFonts w:ascii="Arial" w:hAnsi="Arial" w:cs="Arial"/>
                <w:b/>
                <w:bCs/>
                <w:sz w:val="22"/>
                <w:szCs w:val="22"/>
              </w:rPr>
            </w:pPr>
            <w:r w:rsidRPr="003D46FD">
              <w:rPr>
                <w:rFonts w:ascii="Arial" w:hAnsi="Arial" w:cs="Arial"/>
                <w:b/>
                <w:bCs/>
                <w:sz w:val="22"/>
                <w:szCs w:val="22"/>
              </w:rPr>
              <w:t>Relating to Mortgage Foreclosures</w:t>
            </w:r>
          </w:p>
        </w:tc>
        <w:tc>
          <w:tcPr>
            <w:tcW w:w="0" w:type="auto"/>
            <w:tcBorders>
              <w:top w:val="single" w:sz="4" w:space="0" w:color="000000"/>
            </w:tcBorders>
            <w:shd w:val="clear" w:color="auto" w:fill="EEEEEE"/>
            <w:tcMar>
              <w:top w:w="20" w:type="dxa"/>
              <w:left w:w="20" w:type="dxa"/>
              <w:bottom w:w="20" w:type="dxa"/>
              <w:right w:w="20" w:type="dxa"/>
            </w:tcMar>
            <w:vAlign w:val="center"/>
            <w:hideMark/>
          </w:tcPr>
          <w:p w:rsidR="003D46FD" w:rsidRPr="003D46FD" w:rsidRDefault="003D46FD">
            <w:pPr>
              <w:rPr>
                <w:rFonts w:ascii="Arial" w:hAnsi="Arial" w:cs="Arial"/>
                <w:sz w:val="22"/>
                <w:szCs w:val="22"/>
              </w:rPr>
            </w:pPr>
            <w:r w:rsidRPr="00BA2D07">
              <w:rPr>
                <w:rFonts w:ascii="Arial" w:hAnsi="Arial" w:cs="Arial"/>
                <w:sz w:val="22"/>
                <w:szCs w:val="22"/>
              </w:rPr>
              <w:t>Passidomo</w:t>
            </w:r>
            <w:r w:rsidRPr="003D46FD">
              <w:rPr>
                <w:rFonts w:ascii="Arial" w:hAnsi="Arial" w:cs="Arial"/>
                <w:sz w:val="22"/>
                <w:szCs w:val="22"/>
              </w:rPr>
              <w:t xml:space="preserve"> </w:t>
            </w:r>
          </w:p>
        </w:tc>
        <w:tc>
          <w:tcPr>
            <w:tcW w:w="0" w:type="auto"/>
            <w:tcBorders>
              <w:top w:val="single" w:sz="4" w:space="0" w:color="000000"/>
            </w:tcBorders>
            <w:shd w:val="clear" w:color="auto" w:fill="EEEEEE"/>
            <w:tcMar>
              <w:top w:w="20" w:type="dxa"/>
              <w:left w:w="20" w:type="dxa"/>
              <w:bottom w:w="20" w:type="dxa"/>
              <w:right w:w="20" w:type="dxa"/>
            </w:tcMar>
            <w:vAlign w:val="center"/>
            <w:hideMark/>
          </w:tcPr>
          <w:p w:rsidR="003D46FD" w:rsidRPr="003D46FD" w:rsidRDefault="003D46FD">
            <w:pPr>
              <w:rPr>
                <w:rFonts w:ascii="Arial" w:hAnsi="Arial" w:cs="Arial"/>
                <w:sz w:val="22"/>
                <w:szCs w:val="22"/>
              </w:rPr>
            </w:pPr>
            <w:r w:rsidRPr="003D46FD">
              <w:rPr>
                <w:rFonts w:ascii="Arial" w:hAnsi="Arial" w:cs="Arial"/>
                <w:sz w:val="22"/>
                <w:szCs w:val="22"/>
              </w:rPr>
              <w:t>01/11/13</w:t>
            </w:r>
          </w:p>
        </w:tc>
        <w:tc>
          <w:tcPr>
            <w:tcW w:w="0" w:type="auto"/>
            <w:tcBorders>
              <w:top w:val="single" w:sz="4" w:space="0" w:color="000000"/>
            </w:tcBorders>
            <w:shd w:val="clear" w:color="auto" w:fill="EEEEEE"/>
            <w:tcMar>
              <w:top w:w="20" w:type="dxa"/>
              <w:left w:w="20" w:type="dxa"/>
              <w:bottom w:w="20" w:type="dxa"/>
              <w:right w:w="20" w:type="dxa"/>
            </w:tcMar>
            <w:vAlign w:val="center"/>
            <w:hideMark/>
          </w:tcPr>
          <w:p w:rsidR="003D46FD" w:rsidRPr="003D46FD" w:rsidRDefault="00B65B83">
            <w:pPr>
              <w:rPr>
                <w:rFonts w:ascii="Arial" w:hAnsi="Arial" w:cs="Arial"/>
                <w:sz w:val="22"/>
                <w:szCs w:val="22"/>
              </w:rPr>
            </w:pPr>
            <w:r w:rsidRPr="00B65B83">
              <w:rPr>
                <w:rFonts w:ascii="Arial" w:hAnsi="Arial" w:cs="Arial"/>
              </w:rPr>
              <w:pict>
                <v:shape id="_x0000_i1032" type="#_x0000_t75" style="width:16.5pt;height:14pt">
                  <v:imagedata r:id="rId7" o:title=""/>
                </v:shape>
              </w:pict>
            </w:r>
          </w:p>
        </w:tc>
        <w:tc>
          <w:tcPr>
            <w:tcW w:w="0" w:type="auto"/>
            <w:tcBorders>
              <w:top w:val="single" w:sz="4" w:space="0" w:color="000000"/>
            </w:tcBorders>
            <w:shd w:val="clear" w:color="auto" w:fill="EEEEEE"/>
            <w:tcMar>
              <w:top w:w="20" w:type="dxa"/>
              <w:left w:w="20" w:type="dxa"/>
              <w:bottom w:w="20" w:type="dxa"/>
              <w:right w:w="20" w:type="dxa"/>
            </w:tcMar>
            <w:vAlign w:val="center"/>
            <w:hideMark/>
          </w:tcPr>
          <w:p w:rsidR="003D46FD" w:rsidRPr="003D46FD" w:rsidRDefault="003D46FD">
            <w:pPr>
              <w:rPr>
                <w:rFonts w:ascii="Arial" w:hAnsi="Arial" w:cs="Arial"/>
                <w:sz w:val="22"/>
                <w:szCs w:val="22"/>
              </w:rPr>
            </w:pPr>
            <w:r w:rsidRPr="003D46FD">
              <w:rPr>
                <w:rFonts w:ascii="Arial" w:hAnsi="Arial" w:cs="Arial"/>
                <w:sz w:val="22"/>
                <w:szCs w:val="22"/>
              </w:rPr>
              <w:t> </w:t>
            </w:r>
          </w:p>
        </w:tc>
        <w:tc>
          <w:tcPr>
            <w:tcW w:w="0" w:type="auto"/>
            <w:tcBorders>
              <w:top w:val="single" w:sz="4" w:space="0" w:color="000000"/>
            </w:tcBorders>
            <w:shd w:val="clear" w:color="auto" w:fill="EEEEEE"/>
            <w:tcMar>
              <w:top w:w="20" w:type="dxa"/>
              <w:left w:w="20" w:type="dxa"/>
              <w:bottom w:w="20" w:type="dxa"/>
              <w:right w:w="20" w:type="dxa"/>
            </w:tcMar>
            <w:vAlign w:val="center"/>
            <w:hideMark/>
          </w:tcPr>
          <w:p w:rsidR="003D46FD" w:rsidRPr="003D46FD" w:rsidRDefault="003D46FD">
            <w:pPr>
              <w:jc w:val="center"/>
              <w:rPr>
                <w:rFonts w:ascii="Arial" w:hAnsi="Arial" w:cs="Arial"/>
                <w:sz w:val="22"/>
                <w:szCs w:val="22"/>
              </w:rPr>
            </w:pPr>
            <w:r w:rsidRPr="003D46FD">
              <w:rPr>
                <w:rFonts w:ascii="Arial" w:hAnsi="Arial" w:cs="Arial"/>
                <w:noProof/>
                <w:color w:val="003366"/>
                <w:sz w:val="22"/>
                <w:szCs w:val="22"/>
              </w:rPr>
              <w:drawing>
                <wp:inline distT="0" distB="0" distL="0" distR="0">
                  <wp:extent cx="133350" cy="133350"/>
                  <wp:effectExtent l="19050" t="0" r="0" b="0"/>
                  <wp:docPr id="13" name="Picture 13" descr="ADD 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DD NOTE">
                            <a:hlinkClick r:id="rId22"/>
                          </pic:cNvPr>
                          <pic:cNvPicPr>
                            <a:picLocks noChangeAspect="1" noChangeArrowheads="1"/>
                          </pic:cNvPicPr>
                        </pic:nvPicPr>
                        <pic:blipFill>
                          <a:blip r:embed="rId9"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p>
        </w:tc>
        <w:tc>
          <w:tcPr>
            <w:tcW w:w="0" w:type="auto"/>
            <w:tcBorders>
              <w:top w:val="single" w:sz="4" w:space="0" w:color="000000"/>
            </w:tcBorders>
            <w:shd w:val="clear" w:color="auto" w:fill="EEEEEE"/>
            <w:tcMar>
              <w:top w:w="20" w:type="dxa"/>
              <w:left w:w="20" w:type="dxa"/>
              <w:bottom w:w="20" w:type="dxa"/>
              <w:right w:w="20" w:type="dxa"/>
            </w:tcMar>
            <w:vAlign w:val="center"/>
            <w:hideMark/>
          </w:tcPr>
          <w:p w:rsidR="003D46FD" w:rsidRPr="003D46FD" w:rsidRDefault="003D46FD">
            <w:pPr>
              <w:jc w:val="center"/>
              <w:rPr>
                <w:rFonts w:ascii="Arial" w:hAnsi="Arial" w:cs="Arial"/>
                <w:sz w:val="22"/>
                <w:szCs w:val="22"/>
              </w:rPr>
            </w:pPr>
            <w:r w:rsidRPr="003D46FD">
              <w:rPr>
                <w:rFonts w:ascii="Arial" w:hAnsi="Arial" w:cs="Arial"/>
                <w:noProof/>
                <w:color w:val="003366"/>
                <w:sz w:val="22"/>
                <w:szCs w:val="22"/>
              </w:rPr>
              <w:drawing>
                <wp:inline distT="0" distB="0" distL="0" distR="0">
                  <wp:extent cx="114300" cy="114300"/>
                  <wp:effectExtent l="19050" t="0" r="0" b="0"/>
                  <wp:docPr id="14" name="Picture 14" descr="http://static.lobbytools.com/images/ico_dele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tatic.lobbytools.com/images/ico_delete.gif">
                            <a:hlinkClick r:id="rId23"/>
                          </pic:cNvPr>
                          <pic:cNvPicPr>
                            <a:picLocks noChangeAspect="1" noChangeArrowheads="1"/>
                          </pic:cNvPicPr>
                        </pic:nvPicPr>
                        <pic:blipFill>
                          <a:blip r:embed="rId11"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p>
        </w:tc>
      </w:tr>
      <w:tr w:rsidR="003D46FD">
        <w:trPr>
          <w:tblCellSpacing w:w="0" w:type="dxa"/>
          <w:jc w:val="center"/>
        </w:trPr>
        <w:tc>
          <w:tcPr>
            <w:tcW w:w="0" w:type="auto"/>
            <w:tcMar>
              <w:top w:w="20" w:type="dxa"/>
              <w:left w:w="20" w:type="dxa"/>
              <w:bottom w:w="20" w:type="dxa"/>
              <w:right w:w="20" w:type="dxa"/>
            </w:tcMar>
            <w:vAlign w:val="center"/>
            <w:hideMark/>
          </w:tcPr>
          <w:p w:rsidR="003D46FD" w:rsidRPr="003D46FD" w:rsidRDefault="003D46FD">
            <w:pPr>
              <w:rPr>
                <w:rFonts w:ascii="Arial" w:hAnsi="Arial" w:cs="Arial"/>
                <w:sz w:val="22"/>
                <w:szCs w:val="22"/>
              </w:rPr>
            </w:pPr>
          </w:p>
        </w:tc>
        <w:tc>
          <w:tcPr>
            <w:tcW w:w="0" w:type="auto"/>
            <w:gridSpan w:val="6"/>
            <w:tcMar>
              <w:top w:w="20" w:type="dxa"/>
              <w:left w:w="20" w:type="dxa"/>
              <w:bottom w:w="20" w:type="dxa"/>
              <w:right w:w="20" w:type="dxa"/>
            </w:tcMar>
            <w:vAlign w:val="center"/>
            <w:hideMark/>
          </w:tcPr>
          <w:p w:rsidR="003D46FD" w:rsidRPr="003D46FD" w:rsidRDefault="003D46FD">
            <w:pPr>
              <w:rPr>
                <w:rFonts w:ascii="Arial" w:hAnsi="Arial" w:cs="Arial"/>
                <w:sz w:val="22"/>
                <w:szCs w:val="22"/>
              </w:rPr>
            </w:pPr>
            <w:r w:rsidRPr="003D46FD">
              <w:rPr>
                <w:rFonts w:ascii="Arial" w:hAnsi="Arial" w:cs="Arial"/>
                <w:sz w:val="22"/>
                <w:szCs w:val="22"/>
              </w:rPr>
              <w:t>Mortgage Foreclosures: Revises limitations period for commencing action to enforce claim of deficiency judgment after foreclosure action; provides for applicability to existing causes of action; specifies required contents of complaint seeking to foreclose on certain types of residential properties; authorizes sanctions against plaintiffs who fail to comply with complaint requirements; requires court to treat collateral attack on final judgment of foreclosure on mortgage as claim for monetary damages; prohibits court from granting certain relief affecting title to foreclosed property; provides for construction relating to rights of certain persons to seek relief or pursue claims against foreclosed property; limits amount of deficiency judgment; revises class of persons authorized to move for expedited foreclosure; provides requirements &amp; procedures with respect to order directed to defendants to show cause; provides failures by defendant to make filings or appearances may have legal consequences; requires court to enter final judgment of foreclosure &amp; order foreclosure sale; provides for liability of persons who wrongly claim to be holders of or entitled to enforce a lost, stolen, or destroyed note &amp; cause mortgage secured thereby to be foreclosed. Effective Date: upon becoming a law</w:t>
            </w:r>
          </w:p>
        </w:tc>
        <w:tc>
          <w:tcPr>
            <w:tcW w:w="0" w:type="auto"/>
            <w:vAlign w:val="center"/>
            <w:hideMark/>
          </w:tcPr>
          <w:p w:rsidR="003D46FD" w:rsidRPr="003D46FD" w:rsidRDefault="003D46FD">
            <w:pPr>
              <w:rPr>
                <w:sz w:val="22"/>
                <w:szCs w:val="22"/>
              </w:rPr>
            </w:pPr>
          </w:p>
        </w:tc>
      </w:tr>
      <w:tr w:rsidR="003D46FD">
        <w:trPr>
          <w:tblCellSpacing w:w="0" w:type="dxa"/>
          <w:jc w:val="center"/>
        </w:trPr>
        <w:tc>
          <w:tcPr>
            <w:tcW w:w="0" w:type="auto"/>
            <w:tcMar>
              <w:top w:w="20" w:type="dxa"/>
              <w:left w:w="20" w:type="dxa"/>
              <w:bottom w:w="20" w:type="dxa"/>
              <w:right w:w="20" w:type="dxa"/>
            </w:tcMar>
            <w:vAlign w:val="center"/>
            <w:hideMark/>
          </w:tcPr>
          <w:p w:rsidR="003D46FD" w:rsidRPr="003D46FD" w:rsidRDefault="003D46FD">
            <w:pPr>
              <w:rPr>
                <w:rFonts w:ascii="Arial" w:hAnsi="Arial" w:cs="Arial"/>
                <w:sz w:val="22"/>
                <w:szCs w:val="22"/>
              </w:rPr>
            </w:pPr>
          </w:p>
        </w:tc>
        <w:tc>
          <w:tcPr>
            <w:tcW w:w="0" w:type="auto"/>
            <w:gridSpan w:val="7"/>
            <w:tcMar>
              <w:top w:w="20" w:type="dxa"/>
              <w:left w:w="20" w:type="dxa"/>
              <w:bottom w:w="20" w:type="dxa"/>
              <w:right w:w="20" w:type="dxa"/>
            </w:tcMar>
            <w:vAlign w:val="center"/>
            <w:hideMark/>
          </w:tcPr>
          <w:tbl>
            <w:tblPr>
              <w:tblW w:w="0" w:type="auto"/>
              <w:tblCellSpacing w:w="0" w:type="dxa"/>
              <w:tblCellMar>
                <w:left w:w="0" w:type="dxa"/>
                <w:right w:w="0" w:type="dxa"/>
              </w:tblCellMar>
              <w:tblLook w:val="04A0"/>
            </w:tblPr>
            <w:tblGrid>
              <w:gridCol w:w="958"/>
              <w:gridCol w:w="1361"/>
            </w:tblGrid>
            <w:tr w:rsidR="003D46FD" w:rsidRPr="003D46FD">
              <w:trPr>
                <w:tblCellSpacing w:w="0" w:type="dxa"/>
              </w:trPr>
              <w:tc>
                <w:tcPr>
                  <w:tcW w:w="0" w:type="auto"/>
                  <w:tcMar>
                    <w:top w:w="20" w:type="dxa"/>
                    <w:left w:w="20" w:type="dxa"/>
                    <w:bottom w:w="20" w:type="dxa"/>
                    <w:right w:w="20" w:type="dxa"/>
                  </w:tcMar>
                  <w:hideMark/>
                </w:tcPr>
                <w:p w:rsidR="003D46FD" w:rsidRPr="003D46FD" w:rsidRDefault="003D46FD">
                  <w:pPr>
                    <w:rPr>
                      <w:rFonts w:ascii="Arial" w:hAnsi="Arial" w:cs="Arial"/>
                      <w:sz w:val="22"/>
                      <w:szCs w:val="22"/>
                    </w:rPr>
                  </w:pPr>
                  <w:r w:rsidRPr="003D46FD">
                    <w:rPr>
                      <w:rFonts w:ascii="Arial" w:hAnsi="Arial" w:cs="Arial"/>
                      <w:sz w:val="22"/>
                      <w:szCs w:val="22"/>
                    </w:rPr>
                    <w:t>01/03/13 </w:t>
                  </w:r>
                </w:p>
              </w:tc>
              <w:tc>
                <w:tcPr>
                  <w:tcW w:w="0" w:type="auto"/>
                  <w:tcMar>
                    <w:top w:w="20" w:type="dxa"/>
                    <w:left w:w="20" w:type="dxa"/>
                    <w:bottom w:w="20" w:type="dxa"/>
                    <w:right w:w="20" w:type="dxa"/>
                  </w:tcMar>
                  <w:vAlign w:val="center"/>
                  <w:hideMark/>
                </w:tcPr>
                <w:p w:rsidR="003D46FD" w:rsidRPr="003D46FD" w:rsidRDefault="003D46FD">
                  <w:pPr>
                    <w:rPr>
                      <w:rFonts w:ascii="Arial" w:hAnsi="Arial" w:cs="Arial"/>
                      <w:sz w:val="22"/>
                      <w:szCs w:val="22"/>
                    </w:rPr>
                  </w:pPr>
                  <w:r w:rsidRPr="003D46FD">
                    <w:rPr>
                      <w:rFonts w:ascii="Arial" w:hAnsi="Arial" w:cs="Arial"/>
                      <w:sz w:val="22"/>
                      <w:szCs w:val="22"/>
                    </w:rPr>
                    <w:t>HOUSE Filed</w:t>
                  </w:r>
                </w:p>
              </w:tc>
            </w:tr>
          </w:tbl>
          <w:p w:rsidR="003D46FD" w:rsidRPr="003D46FD" w:rsidRDefault="003D46FD">
            <w:pPr>
              <w:rPr>
                <w:rFonts w:ascii="Arial" w:hAnsi="Arial" w:cs="Arial"/>
                <w:sz w:val="22"/>
                <w:szCs w:val="22"/>
              </w:rPr>
            </w:pPr>
          </w:p>
        </w:tc>
      </w:tr>
      <w:tr w:rsidR="003D46FD">
        <w:trPr>
          <w:tblCellSpacing w:w="0" w:type="dxa"/>
          <w:jc w:val="center"/>
        </w:trPr>
        <w:tc>
          <w:tcPr>
            <w:tcW w:w="0" w:type="auto"/>
            <w:tcMar>
              <w:top w:w="20" w:type="dxa"/>
              <w:left w:w="20" w:type="dxa"/>
              <w:bottom w:w="20" w:type="dxa"/>
              <w:right w:w="20" w:type="dxa"/>
            </w:tcMar>
            <w:vAlign w:val="center"/>
            <w:hideMark/>
          </w:tcPr>
          <w:p w:rsidR="003D46FD" w:rsidRPr="003D46FD" w:rsidRDefault="003D46FD">
            <w:pPr>
              <w:rPr>
                <w:rFonts w:ascii="Arial" w:hAnsi="Arial" w:cs="Arial"/>
                <w:sz w:val="22"/>
                <w:szCs w:val="22"/>
              </w:rPr>
            </w:pPr>
          </w:p>
        </w:tc>
        <w:tc>
          <w:tcPr>
            <w:tcW w:w="0" w:type="auto"/>
            <w:gridSpan w:val="7"/>
            <w:tcMar>
              <w:top w:w="20" w:type="dxa"/>
              <w:left w:w="20" w:type="dxa"/>
              <w:bottom w:w="20" w:type="dxa"/>
              <w:right w:w="20" w:type="dxa"/>
            </w:tcMar>
            <w:vAlign w:val="center"/>
            <w:hideMark/>
          </w:tcPr>
          <w:tbl>
            <w:tblPr>
              <w:tblW w:w="0" w:type="auto"/>
              <w:tblCellSpacing w:w="0" w:type="dxa"/>
              <w:tblCellMar>
                <w:left w:w="0" w:type="dxa"/>
                <w:right w:w="0" w:type="dxa"/>
              </w:tblCellMar>
              <w:tblLook w:val="04A0"/>
            </w:tblPr>
            <w:tblGrid>
              <w:gridCol w:w="958"/>
              <w:gridCol w:w="7632"/>
            </w:tblGrid>
            <w:tr w:rsidR="003D46FD" w:rsidRPr="003D46FD">
              <w:trPr>
                <w:tblCellSpacing w:w="0" w:type="dxa"/>
              </w:trPr>
              <w:tc>
                <w:tcPr>
                  <w:tcW w:w="0" w:type="auto"/>
                  <w:tcMar>
                    <w:top w:w="20" w:type="dxa"/>
                    <w:left w:w="20" w:type="dxa"/>
                    <w:bottom w:w="20" w:type="dxa"/>
                    <w:right w:w="20" w:type="dxa"/>
                  </w:tcMar>
                  <w:hideMark/>
                </w:tcPr>
                <w:p w:rsidR="003D46FD" w:rsidRPr="003D46FD" w:rsidRDefault="003D46FD">
                  <w:pPr>
                    <w:rPr>
                      <w:rFonts w:ascii="Arial" w:hAnsi="Arial" w:cs="Arial"/>
                      <w:sz w:val="22"/>
                      <w:szCs w:val="22"/>
                    </w:rPr>
                  </w:pPr>
                  <w:r w:rsidRPr="003D46FD">
                    <w:rPr>
                      <w:rFonts w:ascii="Arial" w:hAnsi="Arial" w:cs="Arial"/>
                      <w:sz w:val="22"/>
                      <w:szCs w:val="22"/>
                    </w:rPr>
                    <w:t>01/11/13 </w:t>
                  </w:r>
                </w:p>
              </w:tc>
              <w:tc>
                <w:tcPr>
                  <w:tcW w:w="0" w:type="auto"/>
                  <w:tcMar>
                    <w:top w:w="20" w:type="dxa"/>
                    <w:left w:w="20" w:type="dxa"/>
                    <w:bottom w:w="20" w:type="dxa"/>
                    <w:right w:w="20" w:type="dxa"/>
                  </w:tcMar>
                  <w:vAlign w:val="center"/>
                  <w:hideMark/>
                </w:tcPr>
                <w:p w:rsidR="003D46FD" w:rsidRPr="003D46FD" w:rsidRDefault="003D46FD">
                  <w:pPr>
                    <w:rPr>
                      <w:rFonts w:ascii="Arial" w:hAnsi="Arial" w:cs="Arial"/>
                      <w:sz w:val="22"/>
                      <w:szCs w:val="22"/>
                    </w:rPr>
                  </w:pPr>
                  <w:r w:rsidRPr="003D46FD">
                    <w:rPr>
                      <w:rFonts w:ascii="Arial" w:hAnsi="Arial" w:cs="Arial"/>
                      <w:sz w:val="22"/>
                      <w:szCs w:val="22"/>
                    </w:rPr>
                    <w:t>HOUSE Referred to Civil Justice Subcommittee; Justice Appropriations Subcommittee; Judiciary Committee</w:t>
                  </w:r>
                </w:p>
              </w:tc>
            </w:tr>
          </w:tbl>
          <w:p w:rsidR="003D46FD" w:rsidRPr="003D46FD" w:rsidRDefault="003D46FD">
            <w:pPr>
              <w:rPr>
                <w:rFonts w:ascii="Arial" w:hAnsi="Arial" w:cs="Arial"/>
                <w:sz w:val="22"/>
                <w:szCs w:val="22"/>
              </w:rPr>
            </w:pPr>
          </w:p>
        </w:tc>
      </w:tr>
      <w:tr w:rsidR="003D46FD">
        <w:trPr>
          <w:tblCellSpacing w:w="0" w:type="dxa"/>
          <w:jc w:val="center"/>
        </w:trPr>
        <w:tc>
          <w:tcPr>
            <w:tcW w:w="0" w:type="auto"/>
            <w:tcMar>
              <w:top w:w="20" w:type="dxa"/>
              <w:left w:w="20" w:type="dxa"/>
              <w:bottom w:w="20" w:type="dxa"/>
              <w:right w:w="20" w:type="dxa"/>
            </w:tcMar>
            <w:vAlign w:val="center"/>
            <w:hideMark/>
          </w:tcPr>
          <w:p w:rsidR="003D46FD" w:rsidRPr="003D46FD" w:rsidRDefault="003D46FD">
            <w:pPr>
              <w:rPr>
                <w:rFonts w:ascii="Arial" w:hAnsi="Arial" w:cs="Arial"/>
                <w:sz w:val="22"/>
                <w:szCs w:val="22"/>
              </w:rPr>
            </w:pPr>
          </w:p>
        </w:tc>
        <w:tc>
          <w:tcPr>
            <w:tcW w:w="0" w:type="auto"/>
            <w:gridSpan w:val="7"/>
            <w:tcMar>
              <w:top w:w="20" w:type="dxa"/>
              <w:left w:w="20" w:type="dxa"/>
              <w:bottom w:w="20" w:type="dxa"/>
              <w:right w:w="20" w:type="dxa"/>
            </w:tcMar>
            <w:vAlign w:val="center"/>
            <w:hideMark/>
          </w:tcPr>
          <w:tbl>
            <w:tblPr>
              <w:tblW w:w="0" w:type="auto"/>
              <w:tblCellSpacing w:w="0" w:type="dxa"/>
              <w:tblCellMar>
                <w:left w:w="0" w:type="dxa"/>
                <w:right w:w="0" w:type="dxa"/>
              </w:tblCellMar>
              <w:tblLook w:val="04A0"/>
            </w:tblPr>
            <w:tblGrid>
              <w:gridCol w:w="958"/>
              <w:gridCol w:w="4246"/>
            </w:tblGrid>
            <w:tr w:rsidR="003D46FD" w:rsidRPr="003D46FD">
              <w:trPr>
                <w:tblCellSpacing w:w="0" w:type="dxa"/>
              </w:trPr>
              <w:tc>
                <w:tcPr>
                  <w:tcW w:w="0" w:type="auto"/>
                  <w:tcMar>
                    <w:top w:w="20" w:type="dxa"/>
                    <w:left w:w="20" w:type="dxa"/>
                    <w:bottom w:w="20" w:type="dxa"/>
                    <w:right w:w="20" w:type="dxa"/>
                  </w:tcMar>
                  <w:hideMark/>
                </w:tcPr>
                <w:p w:rsidR="003D46FD" w:rsidRPr="003D46FD" w:rsidRDefault="003D46FD">
                  <w:pPr>
                    <w:rPr>
                      <w:rFonts w:ascii="Arial" w:hAnsi="Arial" w:cs="Arial"/>
                      <w:sz w:val="22"/>
                      <w:szCs w:val="22"/>
                    </w:rPr>
                  </w:pPr>
                  <w:r w:rsidRPr="003D46FD">
                    <w:rPr>
                      <w:rFonts w:ascii="Arial" w:hAnsi="Arial" w:cs="Arial"/>
                      <w:sz w:val="22"/>
                      <w:szCs w:val="22"/>
                    </w:rPr>
                    <w:t>01/11/13 </w:t>
                  </w:r>
                </w:p>
              </w:tc>
              <w:tc>
                <w:tcPr>
                  <w:tcW w:w="0" w:type="auto"/>
                  <w:tcMar>
                    <w:top w:w="20" w:type="dxa"/>
                    <w:left w:w="20" w:type="dxa"/>
                    <w:bottom w:w="20" w:type="dxa"/>
                    <w:right w:w="20" w:type="dxa"/>
                  </w:tcMar>
                  <w:vAlign w:val="center"/>
                  <w:hideMark/>
                </w:tcPr>
                <w:p w:rsidR="003D46FD" w:rsidRPr="003D46FD" w:rsidRDefault="003D46FD">
                  <w:pPr>
                    <w:rPr>
                      <w:rFonts w:ascii="Arial" w:hAnsi="Arial" w:cs="Arial"/>
                      <w:sz w:val="22"/>
                      <w:szCs w:val="22"/>
                    </w:rPr>
                  </w:pPr>
                  <w:r w:rsidRPr="003D46FD">
                    <w:rPr>
                      <w:rFonts w:ascii="Arial" w:hAnsi="Arial" w:cs="Arial"/>
                      <w:sz w:val="22"/>
                      <w:szCs w:val="22"/>
                    </w:rPr>
                    <w:t xml:space="preserve">HOUSE Now in Civil Justice Subcommittee </w:t>
                  </w:r>
                </w:p>
              </w:tc>
            </w:tr>
          </w:tbl>
          <w:p w:rsidR="003D46FD" w:rsidRPr="003D46FD" w:rsidRDefault="003D46FD">
            <w:pPr>
              <w:rPr>
                <w:rFonts w:ascii="Arial" w:hAnsi="Arial" w:cs="Arial"/>
                <w:sz w:val="22"/>
                <w:szCs w:val="22"/>
              </w:rPr>
            </w:pPr>
          </w:p>
        </w:tc>
      </w:tr>
      <w:tr w:rsidR="003D46FD">
        <w:trPr>
          <w:tblCellSpacing w:w="0" w:type="dxa"/>
          <w:jc w:val="center"/>
        </w:trPr>
        <w:tc>
          <w:tcPr>
            <w:tcW w:w="0" w:type="auto"/>
            <w:tcBorders>
              <w:top w:val="single" w:sz="4" w:space="0" w:color="000000"/>
            </w:tcBorders>
            <w:shd w:val="clear" w:color="auto" w:fill="EEEEEE"/>
            <w:tcMar>
              <w:top w:w="20" w:type="dxa"/>
              <w:left w:w="20" w:type="dxa"/>
              <w:bottom w:w="20" w:type="dxa"/>
              <w:right w:w="20" w:type="dxa"/>
            </w:tcMar>
            <w:vAlign w:val="center"/>
            <w:hideMark/>
          </w:tcPr>
          <w:p w:rsidR="003D46FD" w:rsidRPr="003D46FD" w:rsidRDefault="003D46FD">
            <w:pPr>
              <w:rPr>
                <w:rFonts w:ascii="Arial" w:hAnsi="Arial" w:cs="Arial"/>
                <w:sz w:val="22"/>
                <w:szCs w:val="22"/>
              </w:rPr>
            </w:pPr>
            <w:r w:rsidRPr="00BA2D07">
              <w:rPr>
                <w:rFonts w:ascii="Arial" w:hAnsi="Arial" w:cs="Arial"/>
                <w:sz w:val="22"/>
                <w:szCs w:val="22"/>
              </w:rPr>
              <w:t>SB 0090</w:t>
            </w:r>
          </w:p>
        </w:tc>
        <w:tc>
          <w:tcPr>
            <w:tcW w:w="0" w:type="auto"/>
            <w:tcBorders>
              <w:top w:val="single" w:sz="4" w:space="0" w:color="000000"/>
            </w:tcBorders>
            <w:shd w:val="clear" w:color="auto" w:fill="EEEEEE"/>
            <w:tcMar>
              <w:top w:w="20" w:type="dxa"/>
              <w:left w:w="20" w:type="dxa"/>
              <w:bottom w:w="20" w:type="dxa"/>
              <w:right w:w="20" w:type="dxa"/>
            </w:tcMar>
            <w:vAlign w:val="center"/>
            <w:hideMark/>
          </w:tcPr>
          <w:p w:rsidR="003D46FD" w:rsidRPr="003D46FD" w:rsidRDefault="003D46FD">
            <w:pPr>
              <w:rPr>
                <w:rFonts w:ascii="Arial" w:hAnsi="Arial" w:cs="Arial"/>
                <w:b/>
                <w:bCs/>
                <w:sz w:val="22"/>
                <w:szCs w:val="22"/>
              </w:rPr>
            </w:pPr>
            <w:r w:rsidRPr="003D46FD">
              <w:rPr>
                <w:rFonts w:ascii="Arial" w:hAnsi="Arial" w:cs="Arial"/>
                <w:b/>
                <w:bCs/>
                <w:sz w:val="22"/>
                <w:szCs w:val="22"/>
              </w:rPr>
              <w:t>Relating to State Contracts</w:t>
            </w:r>
          </w:p>
        </w:tc>
        <w:tc>
          <w:tcPr>
            <w:tcW w:w="0" w:type="auto"/>
            <w:tcBorders>
              <w:top w:val="single" w:sz="4" w:space="0" w:color="000000"/>
            </w:tcBorders>
            <w:shd w:val="clear" w:color="auto" w:fill="EEEEEE"/>
            <w:tcMar>
              <w:top w:w="20" w:type="dxa"/>
              <w:left w:w="20" w:type="dxa"/>
              <w:bottom w:w="20" w:type="dxa"/>
              <w:right w:w="20" w:type="dxa"/>
            </w:tcMar>
            <w:vAlign w:val="center"/>
            <w:hideMark/>
          </w:tcPr>
          <w:p w:rsidR="003D46FD" w:rsidRPr="003D46FD" w:rsidRDefault="003D46FD">
            <w:pPr>
              <w:rPr>
                <w:rFonts w:ascii="Arial" w:hAnsi="Arial" w:cs="Arial"/>
                <w:sz w:val="22"/>
                <w:szCs w:val="22"/>
              </w:rPr>
            </w:pPr>
            <w:r w:rsidRPr="00BA2D07">
              <w:rPr>
                <w:rFonts w:ascii="Arial" w:hAnsi="Arial" w:cs="Arial"/>
                <w:sz w:val="22"/>
                <w:szCs w:val="22"/>
              </w:rPr>
              <w:t>Smith (C)</w:t>
            </w:r>
            <w:r w:rsidRPr="003D46FD">
              <w:rPr>
                <w:rFonts w:ascii="Arial" w:hAnsi="Arial" w:cs="Arial"/>
                <w:sz w:val="22"/>
                <w:szCs w:val="22"/>
              </w:rPr>
              <w:t xml:space="preserve"> </w:t>
            </w:r>
          </w:p>
        </w:tc>
        <w:tc>
          <w:tcPr>
            <w:tcW w:w="0" w:type="auto"/>
            <w:tcBorders>
              <w:top w:val="single" w:sz="4" w:space="0" w:color="000000"/>
            </w:tcBorders>
            <w:shd w:val="clear" w:color="auto" w:fill="EEEEEE"/>
            <w:tcMar>
              <w:top w:w="20" w:type="dxa"/>
              <w:left w:w="20" w:type="dxa"/>
              <w:bottom w:w="20" w:type="dxa"/>
              <w:right w:w="20" w:type="dxa"/>
            </w:tcMar>
            <w:vAlign w:val="center"/>
            <w:hideMark/>
          </w:tcPr>
          <w:p w:rsidR="003D46FD" w:rsidRPr="003D46FD" w:rsidRDefault="003D46FD">
            <w:pPr>
              <w:rPr>
                <w:rFonts w:ascii="Arial" w:hAnsi="Arial" w:cs="Arial"/>
                <w:sz w:val="22"/>
                <w:szCs w:val="22"/>
              </w:rPr>
            </w:pPr>
            <w:r w:rsidRPr="003D46FD">
              <w:rPr>
                <w:rFonts w:ascii="Arial" w:hAnsi="Arial" w:cs="Arial"/>
                <w:sz w:val="22"/>
                <w:szCs w:val="22"/>
              </w:rPr>
              <w:t>01/07/13</w:t>
            </w:r>
          </w:p>
        </w:tc>
        <w:tc>
          <w:tcPr>
            <w:tcW w:w="0" w:type="auto"/>
            <w:tcBorders>
              <w:top w:val="single" w:sz="4" w:space="0" w:color="000000"/>
            </w:tcBorders>
            <w:shd w:val="clear" w:color="auto" w:fill="EEEEEE"/>
            <w:tcMar>
              <w:top w:w="20" w:type="dxa"/>
              <w:left w:w="20" w:type="dxa"/>
              <w:bottom w:w="20" w:type="dxa"/>
              <w:right w:w="20" w:type="dxa"/>
            </w:tcMar>
            <w:vAlign w:val="center"/>
            <w:hideMark/>
          </w:tcPr>
          <w:p w:rsidR="003D46FD" w:rsidRPr="003D46FD" w:rsidRDefault="00B65B83">
            <w:pPr>
              <w:rPr>
                <w:rFonts w:ascii="Arial" w:hAnsi="Arial" w:cs="Arial"/>
                <w:sz w:val="22"/>
                <w:szCs w:val="22"/>
              </w:rPr>
            </w:pPr>
            <w:r w:rsidRPr="00B65B83">
              <w:rPr>
                <w:rFonts w:ascii="Arial" w:hAnsi="Arial" w:cs="Arial"/>
              </w:rPr>
              <w:pict>
                <v:shape id="_x0000_i1033" type="#_x0000_t75" style="width:16.5pt;height:14pt">
                  <v:imagedata r:id="rId7" o:title=""/>
                </v:shape>
              </w:pict>
            </w:r>
          </w:p>
        </w:tc>
        <w:tc>
          <w:tcPr>
            <w:tcW w:w="0" w:type="auto"/>
            <w:tcBorders>
              <w:top w:val="single" w:sz="4" w:space="0" w:color="000000"/>
            </w:tcBorders>
            <w:shd w:val="clear" w:color="auto" w:fill="EEEEEE"/>
            <w:tcMar>
              <w:top w:w="20" w:type="dxa"/>
              <w:left w:w="20" w:type="dxa"/>
              <w:bottom w:w="20" w:type="dxa"/>
              <w:right w:w="20" w:type="dxa"/>
            </w:tcMar>
            <w:vAlign w:val="center"/>
            <w:hideMark/>
          </w:tcPr>
          <w:p w:rsidR="003D46FD" w:rsidRPr="003D46FD" w:rsidRDefault="003D46FD">
            <w:pPr>
              <w:rPr>
                <w:rFonts w:ascii="Arial" w:hAnsi="Arial" w:cs="Arial"/>
                <w:sz w:val="22"/>
                <w:szCs w:val="22"/>
              </w:rPr>
            </w:pPr>
            <w:r w:rsidRPr="003D46FD">
              <w:rPr>
                <w:rFonts w:ascii="Arial" w:hAnsi="Arial" w:cs="Arial"/>
                <w:sz w:val="22"/>
                <w:szCs w:val="22"/>
              </w:rPr>
              <w:t> </w:t>
            </w:r>
          </w:p>
        </w:tc>
        <w:tc>
          <w:tcPr>
            <w:tcW w:w="0" w:type="auto"/>
            <w:tcBorders>
              <w:top w:val="single" w:sz="4" w:space="0" w:color="000000"/>
            </w:tcBorders>
            <w:shd w:val="clear" w:color="auto" w:fill="EEEEEE"/>
            <w:tcMar>
              <w:top w:w="20" w:type="dxa"/>
              <w:left w:w="20" w:type="dxa"/>
              <w:bottom w:w="20" w:type="dxa"/>
              <w:right w:w="20" w:type="dxa"/>
            </w:tcMar>
            <w:vAlign w:val="center"/>
            <w:hideMark/>
          </w:tcPr>
          <w:p w:rsidR="003D46FD" w:rsidRPr="003D46FD" w:rsidRDefault="003D46FD">
            <w:pPr>
              <w:jc w:val="center"/>
              <w:rPr>
                <w:rFonts w:ascii="Arial" w:hAnsi="Arial" w:cs="Arial"/>
                <w:sz w:val="22"/>
                <w:szCs w:val="22"/>
              </w:rPr>
            </w:pPr>
            <w:r w:rsidRPr="003D46FD">
              <w:rPr>
                <w:rFonts w:ascii="Arial" w:hAnsi="Arial" w:cs="Arial"/>
                <w:noProof/>
                <w:color w:val="003366"/>
                <w:sz w:val="22"/>
                <w:szCs w:val="22"/>
              </w:rPr>
              <w:drawing>
                <wp:inline distT="0" distB="0" distL="0" distR="0">
                  <wp:extent cx="133350" cy="133350"/>
                  <wp:effectExtent l="19050" t="0" r="0" b="0"/>
                  <wp:docPr id="15" name="Picture 15" descr="ADD 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DD NOTE">
                            <a:hlinkClick r:id="rId24"/>
                          </pic:cNvPr>
                          <pic:cNvPicPr>
                            <a:picLocks noChangeAspect="1" noChangeArrowheads="1"/>
                          </pic:cNvPicPr>
                        </pic:nvPicPr>
                        <pic:blipFill>
                          <a:blip r:embed="rId9"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p>
        </w:tc>
        <w:tc>
          <w:tcPr>
            <w:tcW w:w="0" w:type="auto"/>
            <w:tcBorders>
              <w:top w:val="single" w:sz="4" w:space="0" w:color="000000"/>
            </w:tcBorders>
            <w:shd w:val="clear" w:color="auto" w:fill="EEEEEE"/>
            <w:tcMar>
              <w:top w:w="20" w:type="dxa"/>
              <w:left w:w="20" w:type="dxa"/>
              <w:bottom w:w="20" w:type="dxa"/>
              <w:right w:w="20" w:type="dxa"/>
            </w:tcMar>
            <w:vAlign w:val="center"/>
            <w:hideMark/>
          </w:tcPr>
          <w:p w:rsidR="003D46FD" w:rsidRPr="003D46FD" w:rsidRDefault="003D46FD">
            <w:pPr>
              <w:jc w:val="center"/>
              <w:rPr>
                <w:rFonts w:ascii="Arial" w:hAnsi="Arial" w:cs="Arial"/>
                <w:sz w:val="22"/>
                <w:szCs w:val="22"/>
              </w:rPr>
            </w:pPr>
            <w:r w:rsidRPr="003D46FD">
              <w:rPr>
                <w:rFonts w:ascii="Arial" w:hAnsi="Arial" w:cs="Arial"/>
                <w:noProof/>
                <w:color w:val="003366"/>
                <w:sz w:val="22"/>
                <w:szCs w:val="22"/>
              </w:rPr>
              <w:drawing>
                <wp:inline distT="0" distB="0" distL="0" distR="0">
                  <wp:extent cx="114300" cy="114300"/>
                  <wp:effectExtent l="19050" t="0" r="0" b="0"/>
                  <wp:docPr id="16" name="Picture 16" descr="http://static.lobbytools.com/images/ico_dele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tatic.lobbytools.com/images/ico_delete.gif">
                            <a:hlinkClick r:id="rId25"/>
                          </pic:cNvPr>
                          <pic:cNvPicPr>
                            <a:picLocks noChangeAspect="1" noChangeArrowheads="1"/>
                          </pic:cNvPicPr>
                        </pic:nvPicPr>
                        <pic:blipFill>
                          <a:blip r:embed="rId11"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p>
        </w:tc>
      </w:tr>
      <w:tr w:rsidR="003D46FD">
        <w:trPr>
          <w:tblCellSpacing w:w="0" w:type="dxa"/>
          <w:jc w:val="center"/>
        </w:trPr>
        <w:tc>
          <w:tcPr>
            <w:tcW w:w="0" w:type="auto"/>
            <w:tcMar>
              <w:top w:w="20" w:type="dxa"/>
              <w:left w:w="20" w:type="dxa"/>
              <w:bottom w:w="20" w:type="dxa"/>
              <w:right w:w="20" w:type="dxa"/>
            </w:tcMar>
            <w:vAlign w:val="center"/>
            <w:hideMark/>
          </w:tcPr>
          <w:p w:rsidR="003D46FD" w:rsidRPr="003D46FD" w:rsidRDefault="003D46FD">
            <w:pPr>
              <w:rPr>
                <w:rFonts w:ascii="Arial" w:hAnsi="Arial" w:cs="Arial"/>
                <w:sz w:val="22"/>
                <w:szCs w:val="22"/>
              </w:rPr>
            </w:pPr>
          </w:p>
        </w:tc>
        <w:tc>
          <w:tcPr>
            <w:tcW w:w="0" w:type="auto"/>
            <w:gridSpan w:val="6"/>
            <w:tcMar>
              <w:top w:w="20" w:type="dxa"/>
              <w:left w:w="20" w:type="dxa"/>
              <w:bottom w:w="20" w:type="dxa"/>
              <w:right w:w="20" w:type="dxa"/>
            </w:tcMar>
            <w:vAlign w:val="center"/>
            <w:hideMark/>
          </w:tcPr>
          <w:p w:rsidR="003D46FD" w:rsidRPr="003D46FD" w:rsidRDefault="003D46FD">
            <w:pPr>
              <w:rPr>
                <w:rFonts w:ascii="Arial" w:hAnsi="Arial" w:cs="Arial"/>
                <w:sz w:val="22"/>
                <w:szCs w:val="22"/>
              </w:rPr>
            </w:pPr>
            <w:r w:rsidRPr="003D46FD">
              <w:rPr>
                <w:rFonts w:ascii="Arial" w:hAnsi="Arial" w:cs="Arial"/>
                <w:sz w:val="22"/>
                <w:szCs w:val="22"/>
              </w:rPr>
              <w:t>State Contracts; Requiring all state contracts of more than a certain amount to require call-center services to be staffed by persons located within the United States, etc. Effective Date: July 1, 2013</w:t>
            </w:r>
          </w:p>
        </w:tc>
        <w:tc>
          <w:tcPr>
            <w:tcW w:w="0" w:type="auto"/>
            <w:vAlign w:val="center"/>
            <w:hideMark/>
          </w:tcPr>
          <w:p w:rsidR="003D46FD" w:rsidRPr="003D46FD" w:rsidRDefault="003D46FD">
            <w:pPr>
              <w:rPr>
                <w:sz w:val="22"/>
                <w:szCs w:val="22"/>
              </w:rPr>
            </w:pPr>
          </w:p>
        </w:tc>
      </w:tr>
      <w:tr w:rsidR="003D46FD">
        <w:trPr>
          <w:tblCellSpacing w:w="0" w:type="dxa"/>
          <w:jc w:val="center"/>
        </w:trPr>
        <w:tc>
          <w:tcPr>
            <w:tcW w:w="0" w:type="auto"/>
            <w:tcMar>
              <w:top w:w="20" w:type="dxa"/>
              <w:left w:w="20" w:type="dxa"/>
              <w:bottom w:w="20" w:type="dxa"/>
              <w:right w:w="20" w:type="dxa"/>
            </w:tcMar>
            <w:vAlign w:val="center"/>
            <w:hideMark/>
          </w:tcPr>
          <w:p w:rsidR="003D46FD" w:rsidRPr="003D46FD" w:rsidRDefault="003D46FD">
            <w:pPr>
              <w:rPr>
                <w:rFonts w:ascii="Arial" w:hAnsi="Arial" w:cs="Arial"/>
                <w:sz w:val="22"/>
                <w:szCs w:val="22"/>
              </w:rPr>
            </w:pPr>
          </w:p>
        </w:tc>
        <w:tc>
          <w:tcPr>
            <w:tcW w:w="0" w:type="auto"/>
            <w:gridSpan w:val="7"/>
            <w:tcMar>
              <w:top w:w="20" w:type="dxa"/>
              <w:left w:w="20" w:type="dxa"/>
              <w:bottom w:w="20" w:type="dxa"/>
              <w:right w:w="20" w:type="dxa"/>
            </w:tcMar>
            <w:vAlign w:val="center"/>
            <w:hideMark/>
          </w:tcPr>
          <w:tbl>
            <w:tblPr>
              <w:tblW w:w="0" w:type="auto"/>
              <w:tblCellSpacing w:w="0" w:type="dxa"/>
              <w:tblCellMar>
                <w:left w:w="0" w:type="dxa"/>
                <w:right w:w="0" w:type="dxa"/>
              </w:tblCellMar>
              <w:tblLook w:val="04A0"/>
            </w:tblPr>
            <w:tblGrid>
              <w:gridCol w:w="958"/>
              <w:gridCol w:w="1459"/>
            </w:tblGrid>
            <w:tr w:rsidR="003D46FD" w:rsidRPr="003D46FD">
              <w:trPr>
                <w:tblCellSpacing w:w="0" w:type="dxa"/>
              </w:trPr>
              <w:tc>
                <w:tcPr>
                  <w:tcW w:w="0" w:type="auto"/>
                  <w:tcMar>
                    <w:top w:w="20" w:type="dxa"/>
                    <w:left w:w="20" w:type="dxa"/>
                    <w:bottom w:w="20" w:type="dxa"/>
                    <w:right w:w="20" w:type="dxa"/>
                  </w:tcMar>
                  <w:hideMark/>
                </w:tcPr>
                <w:p w:rsidR="003D46FD" w:rsidRPr="003D46FD" w:rsidRDefault="003D46FD">
                  <w:pPr>
                    <w:rPr>
                      <w:rFonts w:ascii="Arial" w:hAnsi="Arial" w:cs="Arial"/>
                      <w:sz w:val="22"/>
                      <w:szCs w:val="22"/>
                    </w:rPr>
                  </w:pPr>
                  <w:r w:rsidRPr="003D46FD">
                    <w:rPr>
                      <w:rFonts w:ascii="Arial" w:hAnsi="Arial" w:cs="Arial"/>
                      <w:sz w:val="22"/>
                      <w:szCs w:val="22"/>
                    </w:rPr>
                    <w:t>12/05/12 </w:t>
                  </w:r>
                </w:p>
              </w:tc>
              <w:tc>
                <w:tcPr>
                  <w:tcW w:w="0" w:type="auto"/>
                  <w:tcMar>
                    <w:top w:w="20" w:type="dxa"/>
                    <w:left w:w="20" w:type="dxa"/>
                    <w:bottom w:w="20" w:type="dxa"/>
                    <w:right w:w="20" w:type="dxa"/>
                  </w:tcMar>
                  <w:vAlign w:val="center"/>
                  <w:hideMark/>
                </w:tcPr>
                <w:p w:rsidR="003D46FD" w:rsidRPr="003D46FD" w:rsidRDefault="003D46FD">
                  <w:pPr>
                    <w:rPr>
                      <w:rFonts w:ascii="Arial" w:hAnsi="Arial" w:cs="Arial"/>
                      <w:sz w:val="22"/>
                      <w:szCs w:val="22"/>
                    </w:rPr>
                  </w:pPr>
                  <w:r w:rsidRPr="003D46FD">
                    <w:rPr>
                      <w:rFonts w:ascii="Arial" w:hAnsi="Arial" w:cs="Arial"/>
                      <w:sz w:val="22"/>
                      <w:szCs w:val="22"/>
                    </w:rPr>
                    <w:t>SENATE Filed</w:t>
                  </w:r>
                </w:p>
              </w:tc>
            </w:tr>
          </w:tbl>
          <w:p w:rsidR="003D46FD" w:rsidRPr="003D46FD" w:rsidRDefault="003D46FD">
            <w:pPr>
              <w:rPr>
                <w:rFonts w:ascii="Arial" w:hAnsi="Arial" w:cs="Arial"/>
                <w:sz w:val="22"/>
                <w:szCs w:val="22"/>
              </w:rPr>
            </w:pPr>
          </w:p>
        </w:tc>
      </w:tr>
      <w:tr w:rsidR="003D46FD">
        <w:trPr>
          <w:tblCellSpacing w:w="0" w:type="dxa"/>
          <w:jc w:val="center"/>
        </w:trPr>
        <w:tc>
          <w:tcPr>
            <w:tcW w:w="0" w:type="auto"/>
            <w:tcMar>
              <w:top w:w="20" w:type="dxa"/>
              <w:left w:w="20" w:type="dxa"/>
              <w:bottom w:w="20" w:type="dxa"/>
              <w:right w:w="20" w:type="dxa"/>
            </w:tcMar>
            <w:vAlign w:val="center"/>
            <w:hideMark/>
          </w:tcPr>
          <w:p w:rsidR="003D46FD" w:rsidRPr="003D46FD" w:rsidRDefault="003D46FD">
            <w:pPr>
              <w:rPr>
                <w:rFonts w:ascii="Arial" w:hAnsi="Arial" w:cs="Arial"/>
                <w:sz w:val="22"/>
                <w:szCs w:val="22"/>
              </w:rPr>
            </w:pPr>
          </w:p>
        </w:tc>
        <w:tc>
          <w:tcPr>
            <w:tcW w:w="0" w:type="auto"/>
            <w:gridSpan w:val="7"/>
            <w:tcMar>
              <w:top w:w="20" w:type="dxa"/>
              <w:left w:w="20" w:type="dxa"/>
              <w:bottom w:w="20" w:type="dxa"/>
              <w:right w:w="20" w:type="dxa"/>
            </w:tcMar>
            <w:vAlign w:val="center"/>
            <w:hideMark/>
          </w:tcPr>
          <w:tbl>
            <w:tblPr>
              <w:tblW w:w="0" w:type="auto"/>
              <w:tblCellSpacing w:w="0" w:type="dxa"/>
              <w:tblCellMar>
                <w:left w:w="0" w:type="dxa"/>
                <w:right w:w="0" w:type="dxa"/>
              </w:tblCellMar>
              <w:tblLook w:val="04A0"/>
            </w:tblPr>
            <w:tblGrid>
              <w:gridCol w:w="958"/>
              <w:gridCol w:w="7632"/>
            </w:tblGrid>
            <w:tr w:rsidR="003D46FD" w:rsidRPr="003D46FD">
              <w:trPr>
                <w:tblCellSpacing w:w="0" w:type="dxa"/>
              </w:trPr>
              <w:tc>
                <w:tcPr>
                  <w:tcW w:w="0" w:type="auto"/>
                  <w:tcMar>
                    <w:top w:w="20" w:type="dxa"/>
                    <w:left w:w="20" w:type="dxa"/>
                    <w:bottom w:w="20" w:type="dxa"/>
                    <w:right w:w="20" w:type="dxa"/>
                  </w:tcMar>
                  <w:hideMark/>
                </w:tcPr>
                <w:p w:rsidR="003D46FD" w:rsidRPr="003D46FD" w:rsidRDefault="003D46FD">
                  <w:pPr>
                    <w:rPr>
                      <w:rFonts w:ascii="Arial" w:hAnsi="Arial" w:cs="Arial"/>
                      <w:sz w:val="22"/>
                      <w:szCs w:val="22"/>
                    </w:rPr>
                  </w:pPr>
                  <w:r w:rsidRPr="003D46FD">
                    <w:rPr>
                      <w:rFonts w:ascii="Arial" w:hAnsi="Arial" w:cs="Arial"/>
                      <w:sz w:val="22"/>
                      <w:szCs w:val="22"/>
                    </w:rPr>
                    <w:t>12/06/12 </w:t>
                  </w:r>
                </w:p>
              </w:tc>
              <w:tc>
                <w:tcPr>
                  <w:tcW w:w="0" w:type="auto"/>
                  <w:tcMar>
                    <w:top w:w="20" w:type="dxa"/>
                    <w:left w:w="20" w:type="dxa"/>
                    <w:bottom w:w="20" w:type="dxa"/>
                    <w:right w:w="20" w:type="dxa"/>
                  </w:tcMar>
                  <w:vAlign w:val="center"/>
                  <w:hideMark/>
                </w:tcPr>
                <w:p w:rsidR="003D46FD" w:rsidRPr="003D46FD" w:rsidRDefault="003D46FD">
                  <w:pPr>
                    <w:rPr>
                      <w:rFonts w:ascii="Arial" w:hAnsi="Arial" w:cs="Arial"/>
                      <w:sz w:val="22"/>
                      <w:szCs w:val="22"/>
                    </w:rPr>
                  </w:pPr>
                  <w:r w:rsidRPr="003D46FD">
                    <w:rPr>
                      <w:rFonts w:ascii="Arial" w:hAnsi="Arial" w:cs="Arial"/>
                      <w:sz w:val="22"/>
                      <w:szCs w:val="22"/>
                    </w:rPr>
                    <w:t>SENATE Referred to Commerce and Tourism; Governmental Oversight and Accountability; Appropriations Subcommittee on General Government; Appropriations</w:t>
                  </w:r>
                </w:p>
              </w:tc>
            </w:tr>
          </w:tbl>
          <w:p w:rsidR="003D46FD" w:rsidRPr="003D46FD" w:rsidRDefault="003D46FD">
            <w:pPr>
              <w:rPr>
                <w:rFonts w:ascii="Arial" w:hAnsi="Arial" w:cs="Arial"/>
                <w:sz w:val="22"/>
                <w:szCs w:val="22"/>
              </w:rPr>
            </w:pPr>
          </w:p>
        </w:tc>
      </w:tr>
      <w:tr w:rsidR="003D46FD">
        <w:trPr>
          <w:tblCellSpacing w:w="0" w:type="dxa"/>
          <w:jc w:val="center"/>
        </w:trPr>
        <w:tc>
          <w:tcPr>
            <w:tcW w:w="0" w:type="auto"/>
            <w:tcMar>
              <w:top w:w="20" w:type="dxa"/>
              <w:left w:w="20" w:type="dxa"/>
              <w:bottom w:w="20" w:type="dxa"/>
              <w:right w:w="20" w:type="dxa"/>
            </w:tcMar>
            <w:vAlign w:val="center"/>
            <w:hideMark/>
          </w:tcPr>
          <w:p w:rsidR="003D46FD" w:rsidRPr="003D46FD" w:rsidRDefault="003D46FD">
            <w:pPr>
              <w:rPr>
                <w:rFonts w:ascii="Arial" w:hAnsi="Arial" w:cs="Arial"/>
                <w:sz w:val="22"/>
                <w:szCs w:val="22"/>
              </w:rPr>
            </w:pPr>
          </w:p>
        </w:tc>
        <w:tc>
          <w:tcPr>
            <w:tcW w:w="0" w:type="auto"/>
            <w:gridSpan w:val="7"/>
            <w:tcMar>
              <w:top w:w="20" w:type="dxa"/>
              <w:left w:w="20" w:type="dxa"/>
              <w:bottom w:w="20" w:type="dxa"/>
              <w:right w:w="20" w:type="dxa"/>
            </w:tcMar>
            <w:vAlign w:val="center"/>
            <w:hideMark/>
          </w:tcPr>
          <w:tbl>
            <w:tblPr>
              <w:tblW w:w="0" w:type="auto"/>
              <w:tblCellSpacing w:w="0" w:type="dxa"/>
              <w:tblCellMar>
                <w:left w:w="0" w:type="dxa"/>
                <w:right w:w="0" w:type="dxa"/>
              </w:tblCellMar>
              <w:tblLook w:val="04A0"/>
            </w:tblPr>
            <w:tblGrid>
              <w:gridCol w:w="958"/>
              <w:gridCol w:w="7632"/>
            </w:tblGrid>
            <w:tr w:rsidR="003D46FD" w:rsidRPr="003D46FD">
              <w:trPr>
                <w:tblCellSpacing w:w="0" w:type="dxa"/>
              </w:trPr>
              <w:tc>
                <w:tcPr>
                  <w:tcW w:w="0" w:type="auto"/>
                  <w:tcMar>
                    <w:top w:w="20" w:type="dxa"/>
                    <w:left w:w="20" w:type="dxa"/>
                    <w:bottom w:w="20" w:type="dxa"/>
                    <w:right w:w="20" w:type="dxa"/>
                  </w:tcMar>
                  <w:hideMark/>
                </w:tcPr>
                <w:p w:rsidR="003D46FD" w:rsidRPr="003D46FD" w:rsidRDefault="003D46FD">
                  <w:pPr>
                    <w:rPr>
                      <w:rFonts w:ascii="Arial" w:hAnsi="Arial" w:cs="Arial"/>
                      <w:sz w:val="22"/>
                      <w:szCs w:val="22"/>
                    </w:rPr>
                  </w:pPr>
                  <w:r w:rsidRPr="003D46FD">
                    <w:rPr>
                      <w:rFonts w:ascii="Arial" w:hAnsi="Arial" w:cs="Arial"/>
                      <w:sz w:val="22"/>
                      <w:szCs w:val="22"/>
                    </w:rPr>
                    <w:t>01/07/13 </w:t>
                  </w:r>
                </w:p>
              </w:tc>
              <w:tc>
                <w:tcPr>
                  <w:tcW w:w="0" w:type="auto"/>
                  <w:tcMar>
                    <w:top w:w="20" w:type="dxa"/>
                    <w:left w:w="20" w:type="dxa"/>
                    <w:bottom w:w="20" w:type="dxa"/>
                    <w:right w:w="20" w:type="dxa"/>
                  </w:tcMar>
                  <w:vAlign w:val="center"/>
                  <w:hideMark/>
                </w:tcPr>
                <w:p w:rsidR="003D46FD" w:rsidRPr="003D46FD" w:rsidRDefault="003D46FD">
                  <w:pPr>
                    <w:rPr>
                      <w:rFonts w:ascii="Arial" w:hAnsi="Arial" w:cs="Arial"/>
                      <w:sz w:val="22"/>
                      <w:szCs w:val="22"/>
                    </w:rPr>
                  </w:pPr>
                  <w:r w:rsidRPr="003D46FD">
                    <w:rPr>
                      <w:rFonts w:ascii="Arial" w:hAnsi="Arial" w:cs="Arial"/>
                      <w:sz w:val="22"/>
                      <w:szCs w:val="22"/>
                    </w:rPr>
                    <w:t>SENATE On Committee agenda - Commerce and Tourism, 01/15/13, 10:00 am, 110 S</w:t>
                  </w:r>
                </w:p>
              </w:tc>
            </w:tr>
          </w:tbl>
          <w:p w:rsidR="003D46FD" w:rsidRPr="003D46FD" w:rsidRDefault="003D46FD">
            <w:pPr>
              <w:rPr>
                <w:rFonts w:ascii="Arial" w:hAnsi="Arial" w:cs="Arial"/>
                <w:sz w:val="22"/>
                <w:szCs w:val="22"/>
              </w:rPr>
            </w:pPr>
          </w:p>
        </w:tc>
      </w:tr>
      <w:tr w:rsidR="003D46FD">
        <w:trPr>
          <w:tblCellSpacing w:w="0" w:type="dxa"/>
          <w:jc w:val="center"/>
        </w:trPr>
        <w:tc>
          <w:tcPr>
            <w:tcW w:w="0" w:type="auto"/>
            <w:tcBorders>
              <w:top w:val="single" w:sz="4" w:space="0" w:color="000000"/>
            </w:tcBorders>
            <w:shd w:val="clear" w:color="auto" w:fill="EEEEEE"/>
            <w:tcMar>
              <w:top w:w="20" w:type="dxa"/>
              <w:left w:w="20" w:type="dxa"/>
              <w:bottom w:w="20" w:type="dxa"/>
              <w:right w:w="20" w:type="dxa"/>
            </w:tcMar>
            <w:vAlign w:val="center"/>
            <w:hideMark/>
          </w:tcPr>
          <w:p w:rsidR="003D46FD" w:rsidRPr="003D46FD" w:rsidRDefault="003D46FD">
            <w:pPr>
              <w:rPr>
                <w:rFonts w:ascii="Arial" w:hAnsi="Arial" w:cs="Arial"/>
                <w:sz w:val="22"/>
                <w:szCs w:val="22"/>
              </w:rPr>
            </w:pPr>
            <w:r w:rsidRPr="00BA2D07">
              <w:rPr>
                <w:rFonts w:ascii="Arial" w:hAnsi="Arial" w:cs="Arial"/>
                <w:sz w:val="22"/>
                <w:szCs w:val="22"/>
              </w:rPr>
              <w:t>HB 0109</w:t>
            </w:r>
          </w:p>
        </w:tc>
        <w:tc>
          <w:tcPr>
            <w:tcW w:w="0" w:type="auto"/>
            <w:tcBorders>
              <w:top w:val="single" w:sz="4" w:space="0" w:color="000000"/>
            </w:tcBorders>
            <w:shd w:val="clear" w:color="auto" w:fill="EEEEEE"/>
            <w:tcMar>
              <w:top w:w="20" w:type="dxa"/>
              <w:left w:w="20" w:type="dxa"/>
              <w:bottom w:w="20" w:type="dxa"/>
              <w:right w:w="20" w:type="dxa"/>
            </w:tcMar>
            <w:vAlign w:val="center"/>
            <w:hideMark/>
          </w:tcPr>
          <w:p w:rsidR="003D46FD" w:rsidRPr="003D46FD" w:rsidRDefault="003D46FD">
            <w:pPr>
              <w:rPr>
                <w:rFonts w:ascii="Arial" w:hAnsi="Arial" w:cs="Arial"/>
                <w:b/>
                <w:bCs/>
                <w:sz w:val="22"/>
                <w:szCs w:val="22"/>
              </w:rPr>
            </w:pPr>
            <w:r w:rsidRPr="003D46FD">
              <w:rPr>
                <w:rFonts w:ascii="Arial" w:hAnsi="Arial" w:cs="Arial"/>
                <w:b/>
                <w:bCs/>
                <w:sz w:val="22"/>
                <w:szCs w:val="22"/>
              </w:rPr>
              <w:t>Relating to Consumptive Use Permits for Development of Alternative Water Supplies</w:t>
            </w:r>
          </w:p>
        </w:tc>
        <w:tc>
          <w:tcPr>
            <w:tcW w:w="0" w:type="auto"/>
            <w:tcBorders>
              <w:top w:val="single" w:sz="4" w:space="0" w:color="000000"/>
            </w:tcBorders>
            <w:shd w:val="clear" w:color="auto" w:fill="EEEEEE"/>
            <w:tcMar>
              <w:top w:w="20" w:type="dxa"/>
              <w:left w:w="20" w:type="dxa"/>
              <w:bottom w:w="20" w:type="dxa"/>
              <w:right w:w="20" w:type="dxa"/>
            </w:tcMar>
            <w:vAlign w:val="center"/>
            <w:hideMark/>
          </w:tcPr>
          <w:p w:rsidR="003D46FD" w:rsidRPr="003D46FD" w:rsidRDefault="003D46FD">
            <w:pPr>
              <w:rPr>
                <w:rFonts w:ascii="Arial" w:hAnsi="Arial" w:cs="Arial"/>
                <w:sz w:val="22"/>
                <w:szCs w:val="22"/>
              </w:rPr>
            </w:pPr>
            <w:r w:rsidRPr="00BA2D07">
              <w:rPr>
                <w:rFonts w:ascii="Arial" w:hAnsi="Arial" w:cs="Arial"/>
                <w:sz w:val="22"/>
                <w:szCs w:val="22"/>
              </w:rPr>
              <w:t>Young</w:t>
            </w:r>
            <w:r w:rsidRPr="003D46FD">
              <w:rPr>
                <w:rFonts w:ascii="Arial" w:hAnsi="Arial" w:cs="Arial"/>
                <w:sz w:val="22"/>
                <w:szCs w:val="22"/>
              </w:rPr>
              <w:t xml:space="preserve"> </w:t>
            </w:r>
          </w:p>
        </w:tc>
        <w:tc>
          <w:tcPr>
            <w:tcW w:w="0" w:type="auto"/>
            <w:tcBorders>
              <w:top w:val="single" w:sz="4" w:space="0" w:color="000000"/>
            </w:tcBorders>
            <w:shd w:val="clear" w:color="auto" w:fill="EEEEEE"/>
            <w:tcMar>
              <w:top w:w="20" w:type="dxa"/>
              <w:left w:w="20" w:type="dxa"/>
              <w:bottom w:w="20" w:type="dxa"/>
              <w:right w:w="20" w:type="dxa"/>
            </w:tcMar>
            <w:vAlign w:val="center"/>
            <w:hideMark/>
          </w:tcPr>
          <w:p w:rsidR="003D46FD" w:rsidRPr="003D46FD" w:rsidRDefault="003D46FD">
            <w:pPr>
              <w:rPr>
                <w:rFonts w:ascii="Arial" w:hAnsi="Arial" w:cs="Arial"/>
                <w:sz w:val="22"/>
                <w:szCs w:val="22"/>
              </w:rPr>
            </w:pPr>
            <w:r w:rsidRPr="003D46FD">
              <w:rPr>
                <w:rFonts w:ascii="Arial" w:hAnsi="Arial" w:cs="Arial"/>
                <w:sz w:val="22"/>
                <w:szCs w:val="22"/>
              </w:rPr>
              <w:t>01/09/13</w:t>
            </w:r>
          </w:p>
        </w:tc>
        <w:tc>
          <w:tcPr>
            <w:tcW w:w="0" w:type="auto"/>
            <w:tcBorders>
              <w:top w:val="single" w:sz="4" w:space="0" w:color="000000"/>
            </w:tcBorders>
            <w:shd w:val="clear" w:color="auto" w:fill="EEEEEE"/>
            <w:tcMar>
              <w:top w:w="20" w:type="dxa"/>
              <w:left w:w="20" w:type="dxa"/>
              <w:bottom w:w="20" w:type="dxa"/>
              <w:right w:w="20" w:type="dxa"/>
            </w:tcMar>
            <w:vAlign w:val="center"/>
            <w:hideMark/>
          </w:tcPr>
          <w:p w:rsidR="003D46FD" w:rsidRPr="003D46FD" w:rsidRDefault="00B65B83">
            <w:pPr>
              <w:rPr>
                <w:rFonts w:ascii="Arial" w:hAnsi="Arial" w:cs="Arial"/>
                <w:sz w:val="22"/>
                <w:szCs w:val="22"/>
              </w:rPr>
            </w:pPr>
            <w:r w:rsidRPr="00B65B83">
              <w:rPr>
                <w:rFonts w:ascii="Arial" w:hAnsi="Arial" w:cs="Arial"/>
              </w:rPr>
              <w:pict>
                <v:shape id="_x0000_i1034" type="#_x0000_t75" style="width:16.5pt;height:14pt">
                  <v:imagedata r:id="rId7" o:title=""/>
                </v:shape>
              </w:pict>
            </w:r>
          </w:p>
        </w:tc>
        <w:tc>
          <w:tcPr>
            <w:tcW w:w="0" w:type="auto"/>
            <w:tcBorders>
              <w:top w:val="single" w:sz="4" w:space="0" w:color="000000"/>
            </w:tcBorders>
            <w:shd w:val="clear" w:color="auto" w:fill="EEEEEE"/>
            <w:tcMar>
              <w:top w:w="20" w:type="dxa"/>
              <w:left w:w="20" w:type="dxa"/>
              <w:bottom w:w="20" w:type="dxa"/>
              <w:right w:w="20" w:type="dxa"/>
            </w:tcMar>
            <w:vAlign w:val="center"/>
            <w:hideMark/>
          </w:tcPr>
          <w:p w:rsidR="003D46FD" w:rsidRPr="003D46FD" w:rsidRDefault="003D46FD">
            <w:pPr>
              <w:rPr>
                <w:rFonts w:ascii="Arial" w:hAnsi="Arial" w:cs="Arial"/>
                <w:sz w:val="22"/>
                <w:szCs w:val="22"/>
              </w:rPr>
            </w:pPr>
            <w:r w:rsidRPr="003D46FD">
              <w:rPr>
                <w:rFonts w:ascii="Arial" w:hAnsi="Arial" w:cs="Arial"/>
                <w:sz w:val="22"/>
                <w:szCs w:val="22"/>
              </w:rPr>
              <w:t> </w:t>
            </w:r>
          </w:p>
        </w:tc>
        <w:tc>
          <w:tcPr>
            <w:tcW w:w="0" w:type="auto"/>
            <w:tcBorders>
              <w:top w:val="single" w:sz="4" w:space="0" w:color="000000"/>
            </w:tcBorders>
            <w:shd w:val="clear" w:color="auto" w:fill="EEEEEE"/>
            <w:tcMar>
              <w:top w:w="20" w:type="dxa"/>
              <w:left w:w="20" w:type="dxa"/>
              <w:bottom w:w="20" w:type="dxa"/>
              <w:right w:w="20" w:type="dxa"/>
            </w:tcMar>
            <w:vAlign w:val="center"/>
            <w:hideMark/>
          </w:tcPr>
          <w:p w:rsidR="003D46FD" w:rsidRPr="003D46FD" w:rsidRDefault="003D46FD">
            <w:pPr>
              <w:jc w:val="center"/>
              <w:rPr>
                <w:rFonts w:ascii="Arial" w:hAnsi="Arial" w:cs="Arial"/>
                <w:sz w:val="22"/>
                <w:szCs w:val="22"/>
              </w:rPr>
            </w:pPr>
            <w:r w:rsidRPr="003D46FD">
              <w:rPr>
                <w:rFonts w:ascii="Arial" w:hAnsi="Arial" w:cs="Arial"/>
                <w:noProof/>
                <w:color w:val="003366"/>
                <w:sz w:val="22"/>
                <w:szCs w:val="22"/>
              </w:rPr>
              <w:drawing>
                <wp:inline distT="0" distB="0" distL="0" distR="0">
                  <wp:extent cx="133350" cy="133350"/>
                  <wp:effectExtent l="19050" t="0" r="0" b="0"/>
                  <wp:docPr id="17" name="Picture 17" descr="ADD 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DD NOTE">
                            <a:hlinkClick r:id="rId26"/>
                          </pic:cNvPr>
                          <pic:cNvPicPr>
                            <a:picLocks noChangeAspect="1" noChangeArrowheads="1"/>
                          </pic:cNvPicPr>
                        </pic:nvPicPr>
                        <pic:blipFill>
                          <a:blip r:embed="rId9"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p>
        </w:tc>
        <w:tc>
          <w:tcPr>
            <w:tcW w:w="0" w:type="auto"/>
            <w:tcBorders>
              <w:top w:val="single" w:sz="4" w:space="0" w:color="000000"/>
            </w:tcBorders>
            <w:shd w:val="clear" w:color="auto" w:fill="EEEEEE"/>
            <w:tcMar>
              <w:top w:w="20" w:type="dxa"/>
              <w:left w:w="20" w:type="dxa"/>
              <w:bottom w:w="20" w:type="dxa"/>
              <w:right w:w="20" w:type="dxa"/>
            </w:tcMar>
            <w:vAlign w:val="center"/>
            <w:hideMark/>
          </w:tcPr>
          <w:p w:rsidR="003D46FD" w:rsidRPr="003D46FD" w:rsidRDefault="003D46FD">
            <w:pPr>
              <w:jc w:val="center"/>
              <w:rPr>
                <w:rFonts w:ascii="Arial" w:hAnsi="Arial" w:cs="Arial"/>
                <w:sz w:val="22"/>
                <w:szCs w:val="22"/>
              </w:rPr>
            </w:pPr>
            <w:r w:rsidRPr="003D46FD">
              <w:rPr>
                <w:rFonts w:ascii="Arial" w:hAnsi="Arial" w:cs="Arial"/>
                <w:noProof/>
                <w:color w:val="003366"/>
                <w:sz w:val="22"/>
                <w:szCs w:val="22"/>
              </w:rPr>
              <w:drawing>
                <wp:inline distT="0" distB="0" distL="0" distR="0">
                  <wp:extent cx="114300" cy="114300"/>
                  <wp:effectExtent l="19050" t="0" r="0" b="0"/>
                  <wp:docPr id="18" name="Picture 18" descr="http://static.lobbytools.com/images/ico_dele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tatic.lobbytools.com/images/ico_delete.gif">
                            <a:hlinkClick r:id="rId27"/>
                          </pic:cNvPr>
                          <pic:cNvPicPr>
                            <a:picLocks noChangeAspect="1" noChangeArrowheads="1"/>
                          </pic:cNvPicPr>
                        </pic:nvPicPr>
                        <pic:blipFill>
                          <a:blip r:embed="rId11"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p>
        </w:tc>
      </w:tr>
      <w:tr w:rsidR="003D46FD">
        <w:trPr>
          <w:tblCellSpacing w:w="0" w:type="dxa"/>
          <w:jc w:val="center"/>
        </w:trPr>
        <w:tc>
          <w:tcPr>
            <w:tcW w:w="0" w:type="auto"/>
            <w:tcMar>
              <w:top w:w="20" w:type="dxa"/>
              <w:left w:w="20" w:type="dxa"/>
              <w:bottom w:w="20" w:type="dxa"/>
              <w:right w:w="20" w:type="dxa"/>
            </w:tcMar>
            <w:vAlign w:val="center"/>
            <w:hideMark/>
          </w:tcPr>
          <w:p w:rsidR="003D46FD" w:rsidRPr="003D46FD" w:rsidRDefault="003D46FD">
            <w:pPr>
              <w:rPr>
                <w:rFonts w:ascii="Arial" w:hAnsi="Arial" w:cs="Arial"/>
                <w:sz w:val="22"/>
                <w:szCs w:val="22"/>
              </w:rPr>
            </w:pPr>
          </w:p>
        </w:tc>
        <w:tc>
          <w:tcPr>
            <w:tcW w:w="0" w:type="auto"/>
            <w:gridSpan w:val="6"/>
            <w:tcMar>
              <w:top w:w="20" w:type="dxa"/>
              <w:left w:w="20" w:type="dxa"/>
              <w:bottom w:w="20" w:type="dxa"/>
              <w:right w:w="20" w:type="dxa"/>
            </w:tcMar>
            <w:vAlign w:val="center"/>
            <w:hideMark/>
          </w:tcPr>
          <w:p w:rsidR="003D46FD" w:rsidRPr="003D46FD" w:rsidRDefault="003D46FD">
            <w:pPr>
              <w:rPr>
                <w:rFonts w:ascii="Arial" w:hAnsi="Arial" w:cs="Arial"/>
                <w:sz w:val="22"/>
                <w:szCs w:val="22"/>
              </w:rPr>
            </w:pPr>
            <w:r w:rsidRPr="003D46FD">
              <w:rPr>
                <w:rFonts w:ascii="Arial" w:hAnsi="Arial" w:cs="Arial"/>
                <w:sz w:val="22"/>
                <w:szCs w:val="22"/>
              </w:rPr>
              <w:t>Consumptive Use Permits for Development of Alternative Water Supplies: Specifies conditions for issuance of permits; provides for issuance, extension, &amp; review of permits approved after specified date. Effective Date: July 1, 2013</w:t>
            </w:r>
          </w:p>
        </w:tc>
        <w:tc>
          <w:tcPr>
            <w:tcW w:w="0" w:type="auto"/>
            <w:vAlign w:val="center"/>
            <w:hideMark/>
          </w:tcPr>
          <w:p w:rsidR="003D46FD" w:rsidRPr="003D46FD" w:rsidRDefault="003D46FD">
            <w:pPr>
              <w:rPr>
                <w:sz w:val="22"/>
                <w:szCs w:val="22"/>
              </w:rPr>
            </w:pPr>
          </w:p>
        </w:tc>
      </w:tr>
      <w:tr w:rsidR="003D46FD">
        <w:trPr>
          <w:tblCellSpacing w:w="0" w:type="dxa"/>
          <w:jc w:val="center"/>
        </w:trPr>
        <w:tc>
          <w:tcPr>
            <w:tcW w:w="0" w:type="auto"/>
            <w:tcMar>
              <w:top w:w="20" w:type="dxa"/>
              <w:left w:w="20" w:type="dxa"/>
              <w:bottom w:w="20" w:type="dxa"/>
              <w:right w:w="20" w:type="dxa"/>
            </w:tcMar>
            <w:vAlign w:val="center"/>
            <w:hideMark/>
          </w:tcPr>
          <w:p w:rsidR="003D46FD" w:rsidRPr="003D46FD" w:rsidRDefault="003D46FD">
            <w:pPr>
              <w:rPr>
                <w:rFonts w:ascii="Arial" w:hAnsi="Arial" w:cs="Arial"/>
                <w:sz w:val="22"/>
                <w:szCs w:val="22"/>
              </w:rPr>
            </w:pPr>
          </w:p>
        </w:tc>
        <w:tc>
          <w:tcPr>
            <w:tcW w:w="0" w:type="auto"/>
            <w:gridSpan w:val="7"/>
            <w:tcMar>
              <w:top w:w="20" w:type="dxa"/>
              <w:left w:w="20" w:type="dxa"/>
              <w:bottom w:w="20" w:type="dxa"/>
              <w:right w:w="20" w:type="dxa"/>
            </w:tcMar>
            <w:vAlign w:val="center"/>
            <w:hideMark/>
          </w:tcPr>
          <w:tbl>
            <w:tblPr>
              <w:tblW w:w="0" w:type="auto"/>
              <w:tblCellSpacing w:w="0" w:type="dxa"/>
              <w:tblCellMar>
                <w:left w:w="0" w:type="dxa"/>
                <w:right w:w="0" w:type="dxa"/>
              </w:tblCellMar>
              <w:tblLook w:val="04A0"/>
            </w:tblPr>
            <w:tblGrid>
              <w:gridCol w:w="958"/>
              <w:gridCol w:w="1361"/>
            </w:tblGrid>
            <w:tr w:rsidR="003D46FD" w:rsidRPr="003D46FD">
              <w:trPr>
                <w:tblCellSpacing w:w="0" w:type="dxa"/>
              </w:trPr>
              <w:tc>
                <w:tcPr>
                  <w:tcW w:w="0" w:type="auto"/>
                  <w:tcMar>
                    <w:top w:w="20" w:type="dxa"/>
                    <w:left w:w="20" w:type="dxa"/>
                    <w:bottom w:w="20" w:type="dxa"/>
                    <w:right w:w="20" w:type="dxa"/>
                  </w:tcMar>
                  <w:hideMark/>
                </w:tcPr>
                <w:p w:rsidR="003D46FD" w:rsidRPr="003D46FD" w:rsidRDefault="003D46FD">
                  <w:pPr>
                    <w:rPr>
                      <w:rFonts w:ascii="Arial" w:hAnsi="Arial" w:cs="Arial"/>
                      <w:sz w:val="22"/>
                      <w:szCs w:val="22"/>
                    </w:rPr>
                  </w:pPr>
                  <w:r w:rsidRPr="003D46FD">
                    <w:rPr>
                      <w:rFonts w:ascii="Arial" w:hAnsi="Arial" w:cs="Arial"/>
                      <w:sz w:val="22"/>
                      <w:szCs w:val="22"/>
                    </w:rPr>
                    <w:t>01/09/13 </w:t>
                  </w:r>
                </w:p>
              </w:tc>
              <w:tc>
                <w:tcPr>
                  <w:tcW w:w="0" w:type="auto"/>
                  <w:tcMar>
                    <w:top w:w="20" w:type="dxa"/>
                    <w:left w:w="20" w:type="dxa"/>
                    <w:bottom w:w="20" w:type="dxa"/>
                    <w:right w:w="20" w:type="dxa"/>
                  </w:tcMar>
                  <w:vAlign w:val="center"/>
                  <w:hideMark/>
                </w:tcPr>
                <w:p w:rsidR="003D46FD" w:rsidRPr="003D46FD" w:rsidRDefault="003D46FD">
                  <w:pPr>
                    <w:rPr>
                      <w:rFonts w:ascii="Arial" w:hAnsi="Arial" w:cs="Arial"/>
                      <w:sz w:val="22"/>
                      <w:szCs w:val="22"/>
                    </w:rPr>
                  </w:pPr>
                  <w:r w:rsidRPr="003D46FD">
                    <w:rPr>
                      <w:rFonts w:ascii="Arial" w:hAnsi="Arial" w:cs="Arial"/>
                      <w:sz w:val="22"/>
                      <w:szCs w:val="22"/>
                    </w:rPr>
                    <w:t>HOUSE Filed</w:t>
                  </w:r>
                </w:p>
              </w:tc>
            </w:tr>
          </w:tbl>
          <w:p w:rsidR="003D46FD" w:rsidRPr="003D46FD" w:rsidRDefault="003D46FD">
            <w:pPr>
              <w:rPr>
                <w:rFonts w:ascii="Arial" w:hAnsi="Arial" w:cs="Arial"/>
                <w:sz w:val="22"/>
                <w:szCs w:val="22"/>
              </w:rPr>
            </w:pPr>
          </w:p>
        </w:tc>
      </w:tr>
      <w:tr w:rsidR="003D46FD">
        <w:trPr>
          <w:tblCellSpacing w:w="0" w:type="dxa"/>
          <w:jc w:val="center"/>
        </w:trPr>
        <w:tc>
          <w:tcPr>
            <w:tcW w:w="0" w:type="auto"/>
            <w:tcBorders>
              <w:top w:val="single" w:sz="4" w:space="0" w:color="000000"/>
            </w:tcBorders>
            <w:shd w:val="clear" w:color="auto" w:fill="EEEEEE"/>
            <w:tcMar>
              <w:top w:w="20" w:type="dxa"/>
              <w:left w:w="20" w:type="dxa"/>
              <w:bottom w:w="20" w:type="dxa"/>
              <w:right w:w="20" w:type="dxa"/>
            </w:tcMar>
            <w:vAlign w:val="center"/>
            <w:hideMark/>
          </w:tcPr>
          <w:p w:rsidR="003D46FD" w:rsidRPr="003D46FD" w:rsidRDefault="003D46FD">
            <w:pPr>
              <w:rPr>
                <w:rFonts w:ascii="Arial" w:hAnsi="Arial" w:cs="Arial"/>
                <w:sz w:val="22"/>
                <w:szCs w:val="22"/>
              </w:rPr>
            </w:pPr>
            <w:r w:rsidRPr="00BA2D07">
              <w:rPr>
                <w:rFonts w:ascii="Arial" w:hAnsi="Arial" w:cs="Arial"/>
                <w:sz w:val="22"/>
                <w:szCs w:val="22"/>
              </w:rPr>
              <w:t>SB 0112</w:t>
            </w:r>
          </w:p>
        </w:tc>
        <w:tc>
          <w:tcPr>
            <w:tcW w:w="0" w:type="auto"/>
            <w:tcBorders>
              <w:top w:val="single" w:sz="4" w:space="0" w:color="000000"/>
            </w:tcBorders>
            <w:shd w:val="clear" w:color="auto" w:fill="EEEEEE"/>
            <w:tcMar>
              <w:top w:w="20" w:type="dxa"/>
              <w:left w:w="20" w:type="dxa"/>
              <w:bottom w:w="20" w:type="dxa"/>
              <w:right w:w="20" w:type="dxa"/>
            </w:tcMar>
            <w:vAlign w:val="center"/>
            <w:hideMark/>
          </w:tcPr>
          <w:p w:rsidR="003D46FD" w:rsidRPr="003D46FD" w:rsidRDefault="003D46FD">
            <w:pPr>
              <w:rPr>
                <w:rFonts w:ascii="Arial" w:hAnsi="Arial" w:cs="Arial"/>
                <w:b/>
                <w:bCs/>
                <w:sz w:val="22"/>
                <w:szCs w:val="22"/>
              </w:rPr>
            </w:pPr>
            <w:r w:rsidRPr="003D46FD">
              <w:rPr>
                <w:rFonts w:ascii="Arial" w:hAnsi="Arial" w:cs="Arial"/>
                <w:b/>
                <w:bCs/>
                <w:sz w:val="22"/>
                <w:szCs w:val="22"/>
              </w:rPr>
              <w:t>Relating to Property Fraud</w:t>
            </w:r>
          </w:p>
        </w:tc>
        <w:tc>
          <w:tcPr>
            <w:tcW w:w="0" w:type="auto"/>
            <w:tcBorders>
              <w:top w:val="single" w:sz="4" w:space="0" w:color="000000"/>
            </w:tcBorders>
            <w:shd w:val="clear" w:color="auto" w:fill="EEEEEE"/>
            <w:tcMar>
              <w:top w:w="20" w:type="dxa"/>
              <w:left w:w="20" w:type="dxa"/>
              <w:bottom w:w="20" w:type="dxa"/>
              <w:right w:w="20" w:type="dxa"/>
            </w:tcMar>
            <w:vAlign w:val="center"/>
            <w:hideMark/>
          </w:tcPr>
          <w:p w:rsidR="003D46FD" w:rsidRPr="003D46FD" w:rsidRDefault="003D46FD">
            <w:pPr>
              <w:rPr>
                <w:rFonts w:ascii="Arial" w:hAnsi="Arial" w:cs="Arial"/>
                <w:sz w:val="22"/>
                <w:szCs w:val="22"/>
              </w:rPr>
            </w:pPr>
            <w:r w:rsidRPr="00BA2D07">
              <w:rPr>
                <w:rFonts w:ascii="Arial" w:hAnsi="Arial" w:cs="Arial"/>
                <w:sz w:val="22"/>
                <w:szCs w:val="22"/>
              </w:rPr>
              <w:t>Dean</w:t>
            </w:r>
            <w:r w:rsidRPr="003D46FD">
              <w:rPr>
                <w:rFonts w:ascii="Arial" w:hAnsi="Arial" w:cs="Arial"/>
                <w:sz w:val="22"/>
                <w:szCs w:val="22"/>
              </w:rPr>
              <w:t xml:space="preserve"> </w:t>
            </w:r>
          </w:p>
        </w:tc>
        <w:tc>
          <w:tcPr>
            <w:tcW w:w="0" w:type="auto"/>
            <w:tcBorders>
              <w:top w:val="single" w:sz="4" w:space="0" w:color="000000"/>
            </w:tcBorders>
            <w:shd w:val="clear" w:color="auto" w:fill="EEEEEE"/>
            <w:tcMar>
              <w:top w:w="20" w:type="dxa"/>
              <w:left w:w="20" w:type="dxa"/>
              <w:bottom w:w="20" w:type="dxa"/>
              <w:right w:w="20" w:type="dxa"/>
            </w:tcMar>
            <w:vAlign w:val="center"/>
            <w:hideMark/>
          </w:tcPr>
          <w:p w:rsidR="003D46FD" w:rsidRPr="003D46FD" w:rsidRDefault="003D46FD">
            <w:pPr>
              <w:rPr>
                <w:rFonts w:ascii="Arial" w:hAnsi="Arial" w:cs="Arial"/>
                <w:sz w:val="22"/>
                <w:szCs w:val="22"/>
              </w:rPr>
            </w:pPr>
            <w:r w:rsidRPr="003D46FD">
              <w:rPr>
                <w:rFonts w:ascii="Arial" w:hAnsi="Arial" w:cs="Arial"/>
                <w:sz w:val="22"/>
                <w:szCs w:val="22"/>
              </w:rPr>
              <w:t>01/04/13</w:t>
            </w:r>
          </w:p>
        </w:tc>
        <w:tc>
          <w:tcPr>
            <w:tcW w:w="0" w:type="auto"/>
            <w:tcBorders>
              <w:top w:val="single" w:sz="4" w:space="0" w:color="000000"/>
            </w:tcBorders>
            <w:shd w:val="clear" w:color="auto" w:fill="EEEEEE"/>
            <w:tcMar>
              <w:top w:w="20" w:type="dxa"/>
              <w:left w:w="20" w:type="dxa"/>
              <w:bottom w:w="20" w:type="dxa"/>
              <w:right w:w="20" w:type="dxa"/>
            </w:tcMar>
            <w:vAlign w:val="center"/>
            <w:hideMark/>
          </w:tcPr>
          <w:p w:rsidR="003D46FD" w:rsidRPr="003D46FD" w:rsidRDefault="00B65B83">
            <w:pPr>
              <w:rPr>
                <w:rFonts w:ascii="Arial" w:hAnsi="Arial" w:cs="Arial"/>
                <w:sz w:val="22"/>
                <w:szCs w:val="22"/>
              </w:rPr>
            </w:pPr>
            <w:r w:rsidRPr="00B65B83">
              <w:rPr>
                <w:rFonts w:ascii="Arial" w:hAnsi="Arial" w:cs="Arial"/>
              </w:rPr>
              <w:pict>
                <v:shape id="_x0000_i1035" type="#_x0000_t75" style="width:16.5pt;height:14pt">
                  <v:imagedata r:id="rId7" o:title=""/>
                </v:shape>
              </w:pict>
            </w:r>
          </w:p>
        </w:tc>
        <w:tc>
          <w:tcPr>
            <w:tcW w:w="0" w:type="auto"/>
            <w:tcBorders>
              <w:top w:val="single" w:sz="4" w:space="0" w:color="000000"/>
            </w:tcBorders>
            <w:shd w:val="clear" w:color="auto" w:fill="EEEEEE"/>
            <w:tcMar>
              <w:top w:w="20" w:type="dxa"/>
              <w:left w:w="20" w:type="dxa"/>
              <w:bottom w:w="20" w:type="dxa"/>
              <w:right w:w="20" w:type="dxa"/>
            </w:tcMar>
            <w:vAlign w:val="center"/>
            <w:hideMark/>
          </w:tcPr>
          <w:p w:rsidR="003D46FD" w:rsidRPr="003D46FD" w:rsidRDefault="003D46FD">
            <w:pPr>
              <w:rPr>
                <w:rFonts w:ascii="Arial" w:hAnsi="Arial" w:cs="Arial"/>
                <w:sz w:val="22"/>
                <w:szCs w:val="22"/>
              </w:rPr>
            </w:pPr>
            <w:r w:rsidRPr="003D46FD">
              <w:rPr>
                <w:rFonts w:ascii="Arial" w:hAnsi="Arial" w:cs="Arial"/>
                <w:sz w:val="22"/>
                <w:szCs w:val="22"/>
              </w:rPr>
              <w:t> </w:t>
            </w:r>
          </w:p>
        </w:tc>
        <w:tc>
          <w:tcPr>
            <w:tcW w:w="0" w:type="auto"/>
            <w:tcBorders>
              <w:top w:val="single" w:sz="4" w:space="0" w:color="000000"/>
            </w:tcBorders>
            <w:shd w:val="clear" w:color="auto" w:fill="EEEEEE"/>
            <w:tcMar>
              <w:top w:w="20" w:type="dxa"/>
              <w:left w:w="20" w:type="dxa"/>
              <w:bottom w:w="20" w:type="dxa"/>
              <w:right w:w="20" w:type="dxa"/>
            </w:tcMar>
            <w:vAlign w:val="center"/>
            <w:hideMark/>
          </w:tcPr>
          <w:p w:rsidR="003D46FD" w:rsidRPr="003D46FD" w:rsidRDefault="003D46FD">
            <w:pPr>
              <w:jc w:val="center"/>
              <w:rPr>
                <w:rFonts w:ascii="Arial" w:hAnsi="Arial" w:cs="Arial"/>
                <w:sz w:val="22"/>
                <w:szCs w:val="22"/>
              </w:rPr>
            </w:pPr>
            <w:r w:rsidRPr="003D46FD">
              <w:rPr>
                <w:rFonts w:ascii="Arial" w:hAnsi="Arial" w:cs="Arial"/>
                <w:noProof/>
                <w:color w:val="003366"/>
                <w:sz w:val="22"/>
                <w:szCs w:val="22"/>
              </w:rPr>
              <w:drawing>
                <wp:inline distT="0" distB="0" distL="0" distR="0">
                  <wp:extent cx="133350" cy="133350"/>
                  <wp:effectExtent l="19050" t="0" r="0" b="0"/>
                  <wp:docPr id="19" name="Picture 19" descr="ADD 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ADD NOTE">
                            <a:hlinkClick r:id="rId28"/>
                          </pic:cNvPr>
                          <pic:cNvPicPr>
                            <a:picLocks noChangeAspect="1" noChangeArrowheads="1"/>
                          </pic:cNvPicPr>
                        </pic:nvPicPr>
                        <pic:blipFill>
                          <a:blip r:embed="rId9"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p>
        </w:tc>
        <w:tc>
          <w:tcPr>
            <w:tcW w:w="0" w:type="auto"/>
            <w:tcBorders>
              <w:top w:val="single" w:sz="4" w:space="0" w:color="000000"/>
            </w:tcBorders>
            <w:shd w:val="clear" w:color="auto" w:fill="EEEEEE"/>
            <w:tcMar>
              <w:top w:w="20" w:type="dxa"/>
              <w:left w:w="20" w:type="dxa"/>
              <w:bottom w:w="20" w:type="dxa"/>
              <w:right w:w="20" w:type="dxa"/>
            </w:tcMar>
            <w:vAlign w:val="center"/>
            <w:hideMark/>
          </w:tcPr>
          <w:p w:rsidR="003D46FD" w:rsidRPr="003D46FD" w:rsidRDefault="003D46FD">
            <w:pPr>
              <w:jc w:val="center"/>
              <w:rPr>
                <w:rFonts w:ascii="Arial" w:hAnsi="Arial" w:cs="Arial"/>
                <w:sz w:val="22"/>
                <w:szCs w:val="22"/>
              </w:rPr>
            </w:pPr>
            <w:r w:rsidRPr="003D46FD">
              <w:rPr>
                <w:rFonts w:ascii="Arial" w:hAnsi="Arial" w:cs="Arial"/>
                <w:noProof/>
                <w:color w:val="003366"/>
                <w:sz w:val="22"/>
                <w:szCs w:val="22"/>
              </w:rPr>
              <w:drawing>
                <wp:inline distT="0" distB="0" distL="0" distR="0">
                  <wp:extent cx="114300" cy="114300"/>
                  <wp:effectExtent l="19050" t="0" r="0" b="0"/>
                  <wp:docPr id="20" name="Picture 20" descr="http://static.lobbytools.com/images/ico_dele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tatic.lobbytools.com/images/ico_delete.gif">
                            <a:hlinkClick r:id="rId29"/>
                          </pic:cNvPr>
                          <pic:cNvPicPr>
                            <a:picLocks noChangeAspect="1" noChangeArrowheads="1"/>
                          </pic:cNvPicPr>
                        </pic:nvPicPr>
                        <pic:blipFill>
                          <a:blip r:embed="rId11"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p>
        </w:tc>
      </w:tr>
      <w:tr w:rsidR="003D46FD">
        <w:trPr>
          <w:tblCellSpacing w:w="0" w:type="dxa"/>
          <w:jc w:val="center"/>
        </w:trPr>
        <w:tc>
          <w:tcPr>
            <w:tcW w:w="0" w:type="auto"/>
            <w:tcMar>
              <w:top w:w="20" w:type="dxa"/>
              <w:left w:w="20" w:type="dxa"/>
              <w:bottom w:w="20" w:type="dxa"/>
              <w:right w:w="20" w:type="dxa"/>
            </w:tcMar>
            <w:vAlign w:val="center"/>
            <w:hideMark/>
          </w:tcPr>
          <w:p w:rsidR="003D46FD" w:rsidRPr="003D46FD" w:rsidRDefault="003D46FD">
            <w:pPr>
              <w:rPr>
                <w:rFonts w:ascii="Arial" w:hAnsi="Arial" w:cs="Arial"/>
                <w:sz w:val="22"/>
                <w:szCs w:val="22"/>
              </w:rPr>
            </w:pPr>
          </w:p>
        </w:tc>
        <w:tc>
          <w:tcPr>
            <w:tcW w:w="0" w:type="auto"/>
            <w:gridSpan w:val="6"/>
            <w:tcMar>
              <w:top w:w="20" w:type="dxa"/>
              <w:left w:w="20" w:type="dxa"/>
              <w:bottom w:w="20" w:type="dxa"/>
              <w:right w:w="20" w:type="dxa"/>
            </w:tcMar>
            <w:vAlign w:val="center"/>
            <w:hideMark/>
          </w:tcPr>
          <w:p w:rsidR="003D46FD" w:rsidRPr="003D46FD" w:rsidRDefault="003D46FD">
            <w:pPr>
              <w:rPr>
                <w:rFonts w:ascii="Arial" w:hAnsi="Arial" w:cs="Arial"/>
                <w:sz w:val="22"/>
                <w:szCs w:val="22"/>
              </w:rPr>
            </w:pPr>
            <w:r w:rsidRPr="003D46FD">
              <w:rPr>
                <w:rFonts w:ascii="Arial" w:hAnsi="Arial" w:cs="Arial"/>
                <w:sz w:val="22"/>
                <w:szCs w:val="22"/>
              </w:rPr>
              <w:t>Property Fraud; Prohibiting a person from filing or causing to be filed, with intent to defraud another, a document relating to the ownership, transfer, or encumbrance of or claim against real or personal property, or any interest in real or personal property, which the person knows contains a material misstatement, misrepresentation, or omission of fact; providing criminal penalties; providing that a person who fraudulently records a construction lien is subject to specified fraud provisions, etc. Effective Date: October 1, 2013</w:t>
            </w:r>
          </w:p>
        </w:tc>
        <w:tc>
          <w:tcPr>
            <w:tcW w:w="0" w:type="auto"/>
            <w:vAlign w:val="center"/>
            <w:hideMark/>
          </w:tcPr>
          <w:p w:rsidR="003D46FD" w:rsidRPr="003D46FD" w:rsidRDefault="003D46FD">
            <w:pPr>
              <w:rPr>
                <w:sz w:val="22"/>
                <w:szCs w:val="22"/>
              </w:rPr>
            </w:pPr>
          </w:p>
        </w:tc>
      </w:tr>
      <w:tr w:rsidR="003D46FD">
        <w:trPr>
          <w:tblCellSpacing w:w="0" w:type="dxa"/>
          <w:jc w:val="center"/>
        </w:trPr>
        <w:tc>
          <w:tcPr>
            <w:tcW w:w="0" w:type="auto"/>
            <w:tcMar>
              <w:top w:w="20" w:type="dxa"/>
              <w:left w:w="20" w:type="dxa"/>
              <w:bottom w:w="20" w:type="dxa"/>
              <w:right w:w="20" w:type="dxa"/>
            </w:tcMar>
            <w:vAlign w:val="center"/>
            <w:hideMark/>
          </w:tcPr>
          <w:p w:rsidR="003D46FD" w:rsidRPr="003D46FD" w:rsidRDefault="003D46FD">
            <w:pPr>
              <w:rPr>
                <w:rFonts w:ascii="Arial" w:hAnsi="Arial" w:cs="Arial"/>
                <w:sz w:val="22"/>
                <w:szCs w:val="22"/>
              </w:rPr>
            </w:pPr>
          </w:p>
        </w:tc>
        <w:tc>
          <w:tcPr>
            <w:tcW w:w="0" w:type="auto"/>
            <w:gridSpan w:val="7"/>
            <w:tcMar>
              <w:top w:w="20" w:type="dxa"/>
              <w:left w:w="20" w:type="dxa"/>
              <w:bottom w:w="20" w:type="dxa"/>
              <w:right w:w="20" w:type="dxa"/>
            </w:tcMar>
            <w:vAlign w:val="center"/>
            <w:hideMark/>
          </w:tcPr>
          <w:tbl>
            <w:tblPr>
              <w:tblW w:w="0" w:type="auto"/>
              <w:tblCellSpacing w:w="0" w:type="dxa"/>
              <w:tblCellMar>
                <w:left w:w="0" w:type="dxa"/>
                <w:right w:w="0" w:type="dxa"/>
              </w:tblCellMar>
              <w:tblLook w:val="04A0"/>
            </w:tblPr>
            <w:tblGrid>
              <w:gridCol w:w="958"/>
              <w:gridCol w:w="1459"/>
            </w:tblGrid>
            <w:tr w:rsidR="003D46FD" w:rsidRPr="003D46FD">
              <w:trPr>
                <w:tblCellSpacing w:w="0" w:type="dxa"/>
              </w:trPr>
              <w:tc>
                <w:tcPr>
                  <w:tcW w:w="0" w:type="auto"/>
                  <w:tcMar>
                    <w:top w:w="20" w:type="dxa"/>
                    <w:left w:w="20" w:type="dxa"/>
                    <w:bottom w:w="20" w:type="dxa"/>
                    <w:right w:w="20" w:type="dxa"/>
                  </w:tcMar>
                  <w:hideMark/>
                </w:tcPr>
                <w:p w:rsidR="003D46FD" w:rsidRPr="003D46FD" w:rsidRDefault="003D46FD">
                  <w:pPr>
                    <w:rPr>
                      <w:rFonts w:ascii="Arial" w:hAnsi="Arial" w:cs="Arial"/>
                      <w:sz w:val="22"/>
                      <w:szCs w:val="22"/>
                    </w:rPr>
                  </w:pPr>
                  <w:r w:rsidRPr="003D46FD">
                    <w:rPr>
                      <w:rFonts w:ascii="Arial" w:hAnsi="Arial" w:cs="Arial"/>
                      <w:sz w:val="22"/>
                      <w:szCs w:val="22"/>
                    </w:rPr>
                    <w:t>12/13/12 </w:t>
                  </w:r>
                </w:p>
              </w:tc>
              <w:tc>
                <w:tcPr>
                  <w:tcW w:w="0" w:type="auto"/>
                  <w:tcMar>
                    <w:top w:w="20" w:type="dxa"/>
                    <w:left w:w="20" w:type="dxa"/>
                    <w:bottom w:w="20" w:type="dxa"/>
                    <w:right w:w="20" w:type="dxa"/>
                  </w:tcMar>
                  <w:vAlign w:val="center"/>
                  <w:hideMark/>
                </w:tcPr>
                <w:p w:rsidR="003D46FD" w:rsidRPr="003D46FD" w:rsidRDefault="003D46FD">
                  <w:pPr>
                    <w:rPr>
                      <w:rFonts w:ascii="Arial" w:hAnsi="Arial" w:cs="Arial"/>
                      <w:sz w:val="22"/>
                      <w:szCs w:val="22"/>
                    </w:rPr>
                  </w:pPr>
                  <w:r w:rsidRPr="003D46FD">
                    <w:rPr>
                      <w:rFonts w:ascii="Arial" w:hAnsi="Arial" w:cs="Arial"/>
                      <w:sz w:val="22"/>
                      <w:szCs w:val="22"/>
                    </w:rPr>
                    <w:t>SENATE Filed</w:t>
                  </w:r>
                </w:p>
              </w:tc>
            </w:tr>
          </w:tbl>
          <w:p w:rsidR="003D46FD" w:rsidRPr="003D46FD" w:rsidRDefault="003D46FD">
            <w:pPr>
              <w:rPr>
                <w:rFonts w:ascii="Arial" w:hAnsi="Arial" w:cs="Arial"/>
                <w:sz w:val="22"/>
                <w:szCs w:val="22"/>
              </w:rPr>
            </w:pPr>
          </w:p>
        </w:tc>
      </w:tr>
      <w:tr w:rsidR="003D46FD">
        <w:trPr>
          <w:tblCellSpacing w:w="0" w:type="dxa"/>
          <w:jc w:val="center"/>
        </w:trPr>
        <w:tc>
          <w:tcPr>
            <w:tcW w:w="0" w:type="auto"/>
            <w:tcMar>
              <w:top w:w="20" w:type="dxa"/>
              <w:left w:w="20" w:type="dxa"/>
              <w:bottom w:w="20" w:type="dxa"/>
              <w:right w:w="20" w:type="dxa"/>
            </w:tcMar>
            <w:vAlign w:val="center"/>
            <w:hideMark/>
          </w:tcPr>
          <w:p w:rsidR="003D46FD" w:rsidRPr="003D46FD" w:rsidRDefault="003D46FD">
            <w:pPr>
              <w:rPr>
                <w:rFonts w:ascii="Arial" w:hAnsi="Arial" w:cs="Arial"/>
                <w:sz w:val="22"/>
                <w:szCs w:val="22"/>
              </w:rPr>
            </w:pPr>
          </w:p>
        </w:tc>
        <w:tc>
          <w:tcPr>
            <w:tcW w:w="0" w:type="auto"/>
            <w:gridSpan w:val="7"/>
            <w:tcMar>
              <w:top w:w="20" w:type="dxa"/>
              <w:left w:w="20" w:type="dxa"/>
              <w:bottom w:w="20" w:type="dxa"/>
              <w:right w:w="20" w:type="dxa"/>
            </w:tcMar>
            <w:vAlign w:val="center"/>
            <w:hideMark/>
          </w:tcPr>
          <w:tbl>
            <w:tblPr>
              <w:tblW w:w="0" w:type="auto"/>
              <w:tblCellSpacing w:w="0" w:type="dxa"/>
              <w:tblCellMar>
                <w:left w:w="0" w:type="dxa"/>
                <w:right w:w="0" w:type="dxa"/>
              </w:tblCellMar>
              <w:tblLook w:val="04A0"/>
            </w:tblPr>
            <w:tblGrid>
              <w:gridCol w:w="958"/>
              <w:gridCol w:w="5371"/>
            </w:tblGrid>
            <w:tr w:rsidR="003D46FD" w:rsidRPr="003D46FD">
              <w:trPr>
                <w:tblCellSpacing w:w="0" w:type="dxa"/>
              </w:trPr>
              <w:tc>
                <w:tcPr>
                  <w:tcW w:w="0" w:type="auto"/>
                  <w:tcMar>
                    <w:top w:w="20" w:type="dxa"/>
                    <w:left w:w="20" w:type="dxa"/>
                    <w:bottom w:w="20" w:type="dxa"/>
                    <w:right w:w="20" w:type="dxa"/>
                  </w:tcMar>
                  <w:hideMark/>
                </w:tcPr>
                <w:p w:rsidR="003D46FD" w:rsidRPr="003D46FD" w:rsidRDefault="003D46FD">
                  <w:pPr>
                    <w:rPr>
                      <w:rFonts w:ascii="Arial" w:hAnsi="Arial" w:cs="Arial"/>
                      <w:sz w:val="22"/>
                      <w:szCs w:val="22"/>
                    </w:rPr>
                  </w:pPr>
                  <w:r w:rsidRPr="003D46FD">
                    <w:rPr>
                      <w:rFonts w:ascii="Arial" w:hAnsi="Arial" w:cs="Arial"/>
                      <w:sz w:val="22"/>
                      <w:szCs w:val="22"/>
                    </w:rPr>
                    <w:t>01/04/13 </w:t>
                  </w:r>
                </w:p>
              </w:tc>
              <w:tc>
                <w:tcPr>
                  <w:tcW w:w="0" w:type="auto"/>
                  <w:tcMar>
                    <w:top w:w="20" w:type="dxa"/>
                    <w:left w:w="20" w:type="dxa"/>
                    <w:bottom w:w="20" w:type="dxa"/>
                    <w:right w:w="20" w:type="dxa"/>
                  </w:tcMar>
                  <w:vAlign w:val="center"/>
                  <w:hideMark/>
                </w:tcPr>
                <w:p w:rsidR="003D46FD" w:rsidRPr="003D46FD" w:rsidRDefault="003D46FD">
                  <w:pPr>
                    <w:rPr>
                      <w:rFonts w:ascii="Arial" w:hAnsi="Arial" w:cs="Arial"/>
                      <w:sz w:val="22"/>
                      <w:szCs w:val="22"/>
                    </w:rPr>
                  </w:pPr>
                  <w:r w:rsidRPr="003D46FD">
                    <w:rPr>
                      <w:rFonts w:ascii="Arial" w:hAnsi="Arial" w:cs="Arial"/>
                      <w:sz w:val="22"/>
                      <w:szCs w:val="22"/>
                    </w:rPr>
                    <w:t>SENATE Referred to Judiciary; Criminal Justice; Rules</w:t>
                  </w:r>
                </w:p>
              </w:tc>
            </w:tr>
          </w:tbl>
          <w:p w:rsidR="003D46FD" w:rsidRPr="003D46FD" w:rsidRDefault="003D46FD">
            <w:pPr>
              <w:rPr>
                <w:rFonts w:ascii="Arial" w:hAnsi="Arial" w:cs="Arial"/>
                <w:sz w:val="22"/>
                <w:szCs w:val="22"/>
              </w:rPr>
            </w:pPr>
          </w:p>
        </w:tc>
      </w:tr>
      <w:tr w:rsidR="003D46FD">
        <w:trPr>
          <w:tblCellSpacing w:w="0" w:type="dxa"/>
          <w:jc w:val="center"/>
        </w:trPr>
        <w:tc>
          <w:tcPr>
            <w:tcW w:w="0" w:type="auto"/>
            <w:tcBorders>
              <w:top w:val="single" w:sz="4" w:space="0" w:color="000000"/>
            </w:tcBorders>
            <w:shd w:val="clear" w:color="auto" w:fill="EEEEEE"/>
            <w:tcMar>
              <w:top w:w="20" w:type="dxa"/>
              <w:left w:w="20" w:type="dxa"/>
              <w:bottom w:w="20" w:type="dxa"/>
              <w:right w:w="20" w:type="dxa"/>
            </w:tcMar>
            <w:vAlign w:val="center"/>
            <w:hideMark/>
          </w:tcPr>
          <w:p w:rsidR="003D46FD" w:rsidRPr="003D46FD" w:rsidRDefault="003D46FD">
            <w:pPr>
              <w:rPr>
                <w:rFonts w:ascii="Arial" w:hAnsi="Arial" w:cs="Arial"/>
                <w:sz w:val="22"/>
                <w:szCs w:val="22"/>
              </w:rPr>
            </w:pPr>
            <w:r w:rsidRPr="00BA2D07">
              <w:rPr>
                <w:rFonts w:ascii="Arial" w:hAnsi="Arial" w:cs="Arial"/>
                <w:sz w:val="22"/>
                <w:szCs w:val="22"/>
              </w:rPr>
              <w:t>SB 0120</w:t>
            </w:r>
          </w:p>
        </w:tc>
        <w:tc>
          <w:tcPr>
            <w:tcW w:w="0" w:type="auto"/>
            <w:tcBorders>
              <w:top w:val="single" w:sz="4" w:space="0" w:color="000000"/>
            </w:tcBorders>
            <w:shd w:val="clear" w:color="auto" w:fill="EEEEEE"/>
            <w:tcMar>
              <w:top w:w="20" w:type="dxa"/>
              <w:left w:w="20" w:type="dxa"/>
              <w:bottom w:w="20" w:type="dxa"/>
              <w:right w:w="20" w:type="dxa"/>
            </w:tcMar>
            <w:vAlign w:val="center"/>
            <w:hideMark/>
          </w:tcPr>
          <w:p w:rsidR="003D46FD" w:rsidRPr="003D46FD" w:rsidRDefault="003D46FD">
            <w:pPr>
              <w:rPr>
                <w:rFonts w:ascii="Arial" w:hAnsi="Arial" w:cs="Arial"/>
                <w:b/>
                <w:bCs/>
                <w:sz w:val="22"/>
                <w:szCs w:val="22"/>
              </w:rPr>
            </w:pPr>
            <w:r w:rsidRPr="003D46FD">
              <w:rPr>
                <w:rFonts w:ascii="Arial" w:hAnsi="Arial" w:cs="Arial"/>
                <w:b/>
                <w:bCs/>
                <w:sz w:val="22"/>
                <w:szCs w:val="22"/>
              </w:rPr>
              <w:t>Relating to Condominiums</w:t>
            </w:r>
          </w:p>
        </w:tc>
        <w:tc>
          <w:tcPr>
            <w:tcW w:w="0" w:type="auto"/>
            <w:tcBorders>
              <w:top w:val="single" w:sz="4" w:space="0" w:color="000000"/>
            </w:tcBorders>
            <w:shd w:val="clear" w:color="auto" w:fill="EEEEEE"/>
            <w:tcMar>
              <w:top w:w="20" w:type="dxa"/>
              <w:left w:w="20" w:type="dxa"/>
              <w:bottom w:w="20" w:type="dxa"/>
              <w:right w:w="20" w:type="dxa"/>
            </w:tcMar>
            <w:vAlign w:val="center"/>
            <w:hideMark/>
          </w:tcPr>
          <w:p w:rsidR="003D46FD" w:rsidRPr="003D46FD" w:rsidRDefault="003D46FD">
            <w:pPr>
              <w:rPr>
                <w:rFonts w:ascii="Arial" w:hAnsi="Arial" w:cs="Arial"/>
                <w:sz w:val="22"/>
                <w:szCs w:val="22"/>
              </w:rPr>
            </w:pPr>
            <w:r w:rsidRPr="00BA2D07">
              <w:rPr>
                <w:rFonts w:ascii="Arial" w:hAnsi="Arial" w:cs="Arial"/>
                <w:sz w:val="22"/>
                <w:szCs w:val="22"/>
              </w:rPr>
              <w:t>Latvala</w:t>
            </w:r>
            <w:r w:rsidRPr="003D46FD">
              <w:rPr>
                <w:rFonts w:ascii="Arial" w:hAnsi="Arial" w:cs="Arial"/>
                <w:sz w:val="22"/>
                <w:szCs w:val="22"/>
              </w:rPr>
              <w:t xml:space="preserve"> </w:t>
            </w:r>
          </w:p>
        </w:tc>
        <w:tc>
          <w:tcPr>
            <w:tcW w:w="0" w:type="auto"/>
            <w:tcBorders>
              <w:top w:val="single" w:sz="4" w:space="0" w:color="000000"/>
            </w:tcBorders>
            <w:shd w:val="clear" w:color="auto" w:fill="EEEEEE"/>
            <w:tcMar>
              <w:top w:w="20" w:type="dxa"/>
              <w:left w:w="20" w:type="dxa"/>
              <w:bottom w:w="20" w:type="dxa"/>
              <w:right w:w="20" w:type="dxa"/>
            </w:tcMar>
            <w:vAlign w:val="center"/>
            <w:hideMark/>
          </w:tcPr>
          <w:p w:rsidR="003D46FD" w:rsidRPr="003D46FD" w:rsidRDefault="003D46FD">
            <w:pPr>
              <w:rPr>
                <w:rFonts w:ascii="Arial" w:hAnsi="Arial" w:cs="Arial"/>
                <w:sz w:val="22"/>
                <w:szCs w:val="22"/>
              </w:rPr>
            </w:pPr>
            <w:r w:rsidRPr="003D46FD">
              <w:rPr>
                <w:rFonts w:ascii="Arial" w:hAnsi="Arial" w:cs="Arial"/>
                <w:sz w:val="22"/>
                <w:szCs w:val="22"/>
              </w:rPr>
              <w:t>01/04/13</w:t>
            </w:r>
          </w:p>
        </w:tc>
        <w:tc>
          <w:tcPr>
            <w:tcW w:w="0" w:type="auto"/>
            <w:tcBorders>
              <w:top w:val="single" w:sz="4" w:space="0" w:color="000000"/>
            </w:tcBorders>
            <w:shd w:val="clear" w:color="auto" w:fill="EEEEEE"/>
            <w:tcMar>
              <w:top w:w="20" w:type="dxa"/>
              <w:left w:w="20" w:type="dxa"/>
              <w:bottom w:w="20" w:type="dxa"/>
              <w:right w:w="20" w:type="dxa"/>
            </w:tcMar>
            <w:vAlign w:val="center"/>
            <w:hideMark/>
          </w:tcPr>
          <w:p w:rsidR="003D46FD" w:rsidRPr="003D46FD" w:rsidRDefault="00B65B83">
            <w:pPr>
              <w:rPr>
                <w:rFonts w:ascii="Arial" w:hAnsi="Arial" w:cs="Arial"/>
                <w:sz w:val="22"/>
                <w:szCs w:val="22"/>
              </w:rPr>
            </w:pPr>
            <w:r w:rsidRPr="00B65B83">
              <w:rPr>
                <w:rFonts w:ascii="Arial" w:hAnsi="Arial" w:cs="Arial"/>
              </w:rPr>
              <w:pict>
                <v:shape id="_x0000_i1036" type="#_x0000_t75" style="width:16.5pt;height:14pt">
                  <v:imagedata r:id="rId7" o:title=""/>
                </v:shape>
              </w:pict>
            </w:r>
          </w:p>
        </w:tc>
        <w:tc>
          <w:tcPr>
            <w:tcW w:w="0" w:type="auto"/>
            <w:tcBorders>
              <w:top w:val="single" w:sz="4" w:space="0" w:color="000000"/>
            </w:tcBorders>
            <w:shd w:val="clear" w:color="auto" w:fill="EEEEEE"/>
            <w:tcMar>
              <w:top w:w="20" w:type="dxa"/>
              <w:left w:w="20" w:type="dxa"/>
              <w:bottom w:w="20" w:type="dxa"/>
              <w:right w:w="20" w:type="dxa"/>
            </w:tcMar>
            <w:vAlign w:val="center"/>
            <w:hideMark/>
          </w:tcPr>
          <w:p w:rsidR="003D46FD" w:rsidRPr="003D46FD" w:rsidRDefault="003D46FD">
            <w:pPr>
              <w:rPr>
                <w:rFonts w:ascii="Arial" w:hAnsi="Arial" w:cs="Arial"/>
                <w:sz w:val="22"/>
                <w:szCs w:val="22"/>
              </w:rPr>
            </w:pPr>
            <w:r w:rsidRPr="003D46FD">
              <w:rPr>
                <w:rFonts w:ascii="Arial" w:hAnsi="Arial" w:cs="Arial"/>
                <w:sz w:val="22"/>
                <w:szCs w:val="22"/>
              </w:rPr>
              <w:t> </w:t>
            </w:r>
          </w:p>
        </w:tc>
        <w:tc>
          <w:tcPr>
            <w:tcW w:w="0" w:type="auto"/>
            <w:tcBorders>
              <w:top w:val="single" w:sz="4" w:space="0" w:color="000000"/>
            </w:tcBorders>
            <w:shd w:val="clear" w:color="auto" w:fill="EEEEEE"/>
            <w:tcMar>
              <w:top w:w="20" w:type="dxa"/>
              <w:left w:w="20" w:type="dxa"/>
              <w:bottom w:w="20" w:type="dxa"/>
              <w:right w:w="20" w:type="dxa"/>
            </w:tcMar>
            <w:vAlign w:val="center"/>
            <w:hideMark/>
          </w:tcPr>
          <w:p w:rsidR="003D46FD" w:rsidRPr="003D46FD" w:rsidRDefault="003D46FD">
            <w:pPr>
              <w:jc w:val="center"/>
              <w:rPr>
                <w:rFonts w:ascii="Arial" w:hAnsi="Arial" w:cs="Arial"/>
                <w:sz w:val="22"/>
                <w:szCs w:val="22"/>
              </w:rPr>
            </w:pPr>
            <w:r w:rsidRPr="003D46FD">
              <w:rPr>
                <w:rFonts w:ascii="Arial" w:hAnsi="Arial" w:cs="Arial"/>
                <w:noProof/>
                <w:color w:val="003366"/>
                <w:sz w:val="22"/>
                <w:szCs w:val="22"/>
              </w:rPr>
              <w:drawing>
                <wp:inline distT="0" distB="0" distL="0" distR="0">
                  <wp:extent cx="133350" cy="133350"/>
                  <wp:effectExtent l="19050" t="0" r="0" b="0"/>
                  <wp:docPr id="21" name="Picture 21" descr="ADD 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DD NOTE">
                            <a:hlinkClick r:id="rId30"/>
                          </pic:cNvPr>
                          <pic:cNvPicPr>
                            <a:picLocks noChangeAspect="1" noChangeArrowheads="1"/>
                          </pic:cNvPicPr>
                        </pic:nvPicPr>
                        <pic:blipFill>
                          <a:blip r:embed="rId9"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p>
        </w:tc>
        <w:tc>
          <w:tcPr>
            <w:tcW w:w="0" w:type="auto"/>
            <w:tcBorders>
              <w:top w:val="single" w:sz="4" w:space="0" w:color="000000"/>
            </w:tcBorders>
            <w:shd w:val="clear" w:color="auto" w:fill="EEEEEE"/>
            <w:tcMar>
              <w:top w:w="20" w:type="dxa"/>
              <w:left w:w="20" w:type="dxa"/>
              <w:bottom w:w="20" w:type="dxa"/>
              <w:right w:w="20" w:type="dxa"/>
            </w:tcMar>
            <w:vAlign w:val="center"/>
            <w:hideMark/>
          </w:tcPr>
          <w:p w:rsidR="003D46FD" w:rsidRPr="003D46FD" w:rsidRDefault="003D46FD">
            <w:pPr>
              <w:jc w:val="center"/>
              <w:rPr>
                <w:rFonts w:ascii="Arial" w:hAnsi="Arial" w:cs="Arial"/>
                <w:sz w:val="22"/>
                <w:szCs w:val="22"/>
              </w:rPr>
            </w:pPr>
            <w:r w:rsidRPr="003D46FD">
              <w:rPr>
                <w:rFonts w:ascii="Arial" w:hAnsi="Arial" w:cs="Arial"/>
                <w:noProof/>
                <w:color w:val="003366"/>
                <w:sz w:val="22"/>
                <w:szCs w:val="22"/>
              </w:rPr>
              <w:drawing>
                <wp:inline distT="0" distB="0" distL="0" distR="0">
                  <wp:extent cx="114300" cy="114300"/>
                  <wp:effectExtent l="19050" t="0" r="0" b="0"/>
                  <wp:docPr id="22" name="Picture 22" descr="http://static.lobbytools.com/images/ico_dele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tatic.lobbytools.com/images/ico_delete.gif">
                            <a:hlinkClick r:id="rId31"/>
                          </pic:cNvPr>
                          <pic:cNvPicPr>
                            <a:picLocks noChangeAspect="1" noChangeArrowheads="1"/>
                          </pic:cNvPicPr>
                        </pic:nvPicPr>
                        <pic:blipFill>
                          <a:blip r:embed="rId11"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p>
        </w:tc>
      </w:tr>
      <w:tr w:rsidR="003D46FD">
        <w:trPr>
          <w:tblCellSpacing w:w="0" w:type="dxa"/>
          <w:jc w:val="center"/>
        </w:trPr>
        <w:tc>
          <w:tcPr>
            <w:tcW w:w="0" w:type="auto"/>
            <w:tcMar>
              <w:top w:w="20" w:type="dxa"/>
              <w:left w:w="20" w:type="dxa"/>
              <w:bottom w:w="20" w:type="dxa"/>
              <w:right w:w="20" w:type="dxa"/>
            </w:tcMar>
            <w:vAlign w:val="center"/>
            <w:hideMark/>
          </w:tcPr>
          <w:p w:rsidR="003D46FD" w:rsidRPr="003D46FD" w:rsidRDefault="003D46FD">
            <w:pPr>
              <w:rPr>
                <w:rFonts w:ascii="Arial" w:hAnsi="Arial" w:cs="Arial"/>
                <w:sz w:val="22"/>
                <w:szCs w:val="22"/>
              </w:rPr>
            </w:pPr>
            <w:r w:rsidRPr="003D46FD">
              <w:rPr>
                <w:rFonts w:ascii="Arial" w:hAnsi="Arial" w:cs="Arial"/>
                <w:sz w:val="22"/>
                <w:szCs w:val="22"/>
              </w:rPr>
              <w:t>(</w:t>
            </w:r>
            <w:r w:rsidRPr="003D46FD">
              <w:rPr>
                <w:rFonts w:ascii="Arial" w:hAnsi="Arial" w:cs="Arial"/>
                <w:b/>
                <w:bCs/>
                <w:sz w:val="22"/>
                <w:szCs w:val="22"/>
              </w:rPr>
              <w:t>C:</w:t>
            </w:r>
            <w:r w:rsidRPr="003D46FD">
              <w:rPr>
                <w:rFonts w:ascii="Arial" w:hAnsi="Arial" w:cs="Arial"/>
                <w:sz w:val="22"/>
                <w:szCs w:val="22"/>
              </w:rPr>
              <w:t xml:space="preserve"> </w:t>
            </w:r>
            <w:r w:rsidRPr="00BA2D07">
              <w:rPr>
                <w:rFonts w:ascii="Arial" w:hAnsi="Arial" w:cs="Arial"/>
                <w:sz w:val="22"/>
                <w:szCs w:val="22"/>
              </w:rPr>
              <w:t>0073</w:t>
            </w:r>
            <w:r w:rsidRPr="003D46FD">
              <w:rPr>
                <w:rFonts w:ascii="Arial" w:hAnsi="Arial" w:cs="Arial"/>
                <w:sz w:val="22"/>
                <w:szCs w:val="22"/>
              </w:rPr>
              <w:t xml:space="preserve"> )</w:t>
            </w:r>
          </w:p>
        </w:tc>
        <w:tc>
          <w:tcPr>
            <w:tcW w:w="0" w:type="auto"/>
            <w:gridSpan w:val="6"/>
            <w:tcMar>
              <w:top w:w="20" w:type="dxa"/>
              <w:left w:w="20" w:type="dxa"/>
              <w:bottom w:w="20" w:type="dxa"/>
              <w:right w:w="20" w:type="dxa"/>
            </w:tcMar>
            <w:vAlign w:val="center"/>
            <w:hideMark/>
          </w:tcPr>
          <w:p w:rsidR="003D46FD" w:rsidRPr="003D46FD" w:rsidRDefault="003D46FD">
            <w:pPr>
              <w:rPr>
                <w:rFonts w:ascii="Arial" w:hAnsi="Arial" w:cs="Arial"/>
                <w:sz w:val="22"/>
                <w:szCs w:val="22"/>
              </w:rPr>
            </w:pPr>
            <w:r w:rsidRPr="003D46FD">
              <w:rPr>
                <w:rFonts w:ascii="Arial" w:hAnsi="Arial" w:cs="Arial"/>
                <w:sz w:val="22"/>
                <w:szCs w:val="22"/>
              </w:rPr>
              <w:t>Condominiums; Allowing condominium units to come into existence regardless of requirements or restrictions in a declaration; extending the amount of time that a clerk may hold a sum of money before notifying the registered agent of an association that the sum is still available and the purpose for which it was deposited; changing the requirements relating to the circumstances under which a declaration of condominium or other documents are effective to create a condominium; revising the conditions under which a developer may amend a declaration of condominium governing a phase condominium; providing for an extension of the 7-year period for the completion of a phase, etc. Effective Date: Upon becoming a law.</w:t>
            </w:r>
          </w:p>
        </w:tc>
        <w:tc>
          <w:tcPr>
            <w:tcW w:w="0" w:type="auto"/>
            <w:vAlign w:val="center"/>
            <w:hideMark/>
          </w:tcPr>
          <w:p w:rsidR="003D46FD" w:rsidRPr="003D46FD" w:rsidRDefault="003D46FD">
            <w:pPr>
              <w:rPr>
                <w:sz w:val="22"/>
                <w:szCs w:val="22"/>
              </w:rPr>
            </w:pPr>
          </w:p>
        </w:tc>
      </w:tr>
      <w:tr w:rsidR="003D46FD">
        <w:trPr>
          <w:tblCellSpacing w:w="0" w:type="dxa"/>
          <w:jc w:val="center"/>
        </w:trPr>
        <w:tc>
          <w:tcPr>
            <w:tcW w:w="0" w:type="auto"/>
            <w:tcMar>
              <w:top w:w="20" w:type="dxa"/>
              <w:left w:w="20" w:type="dxa"/>
              <w:bottom w:w="20" w:type="dxa"/>
              <w:right w:w="20" w:type="dxa"/>
            </w:tcMar>
            <w:vAlign w:val="center"/>
            <w:hideMark/>
          </w:tcPr>
          <w:p w:rsidR="003D46FD" w:rsidRPr="003D46FD" w:rsidRDefault="003D46FD">
            <w:pPr>
              <w:rPr>
                <w:rFonts w:ascii="Arial" w:hAnsi="Arial" w:cs="Arial"/>
                <w:sz w:val="22"/>
                <w:szCs w:val="22"/>
              </w:rPr>
            </w:pPr>
          </w:p>
        </w:tc>
        <w:tc>
          <w:tcPr>
            <w:tcW w:w="0" w:type="auto"/>
            <w:gridSpan w:val="7"/>
            <w:tcMar>
              <w:top w:w="20" w:type="dxa"/>
              <w:left w:w="20" w:type="dxa"/>
              <w:bottom w:w="20" w:type="dxa"/>
              <w:right w:w="20" w:type="dxa"/>
            </w:tcMar>
            <w:vAlign w:val="center"/>
            <w:hideMark/>
          </w:tcPr>
          <w:tbl>
            <w:tblPr>
              <w:tblW w:w="0" w:type="auto"/>
              <w:tblCellSpacing w:w="0" w:type="dxa"/>
              <w:tblCellMar>
                <w:left w:w="0" w:type="dxa"/>
                <w:right w:w="0" w:type="dxa"/>
              </w:tblCellMar>
              <w:tblLook w:val="04A0"/>
            </w:tblPr>
            <w:tblGrid>
              <w:gridCol w:w="958"/>
              <w:gridCol w:w="1459"/>
            </w:tblGrid>
            <w:tr w:rsidR="003D46FD" w:rsidRPr="003D46FD">
              <w:trPr>
                <w:tblCellSpacing w:w="0" w:type="dxa"/>
              </w:trPr>
              <w:tc>
                <w:tcPr>
                  <w:tcW w:w="0" w:type="auto"/>
                  <w:tcMar>
                    <w:top w:w="20" w:type="dxa"/>
                    <w:left w:w="20" w:type="dxa"/>
                    <w:bottom w:w="20" w:type="dxa"/>
                    <w:right w:w="20" w:type="dxa"/>
                  </w:tcMar>
                  <w:hideMark/>
                </w:tcPr>
                <w:p w:rsidR="003D46FD" w:rsidRPr="003D46FD" w:rsidRDefault="003D46FD">
                  <w:pPr>
                    <w:rPr>
                      <w:rFonts w:ascii="Arial" w:hAnsi="Arial" w:cs="Arial"/>
                      <w:sz w:val="22"/>
                      <w:szCs w:val="22"/>
                    </w:rPr>
                  </w:pPr>
                  <w:r w:rsidRPr="003D46FD">
                    <w:rPr>
                      <w:rFonts w:ascii="Arial" w:hAnsi="Arial" w:cs="Arial"/>
                      <w:sz w:val="22"/>
                      <w:szCs w:val="22"/>
                    </w:rPr>
                    <w:t>12/14/12 </w:t>
                  </w:r>
                </w:p>
              </w:tc>
              <w:tc>
                <w:tcPr>
                  <w:tcW w:w="0" w:type="auto"/>
                  <w:tcMar>
                    <w:top w:w="20" w:type="dxa"/>
                    <w:left w:w="20" w:type="dxa"/>
                    <w:bottom w:w="20" w:type="dxa"/>
                    <w:right w:w="20" w:type="dxa"/>
                  </w:tcMar>
                  <w:vAlign w:val="center"/>
                  <w:hideMark/>
                </w:tcPr>
                <w:p w:rsidR="003D46FD" w:rsidRPr="003D46FD" w:rsidRDefault="003D46FD">
                  <w:pPr>
                    <w:rPr>
                      <w:rFonts w:ascii="Arial" w:hAnsi="Arial" w:cs="Arial"/>
                      <w:sz w:val="22"/>
                      <w:szCs w:val="22"/>
                    </w:rPr>
                  </w:pPr>
                  <w:r w:rsidRPr="003D46FD">
                    <w:rPr>
                      <w:rFonts w:ascii="Arial" w:hAnsi="Arial" w:cs="Arial"/>
                      <w:sz w:val="22"/>
                      <w:szCs w:val="22"/>
                    </w:rPr>
                    <w:t>SENATE Filed</w:t>
                  </w:r>
                </w:p>
              </w:tc>
            </w:tr>
          </w:tbl>
          <w:p w:rsidR="003D46FD" w:rsidRPr="003D46FD" w:rsidRDefault="003D46FD">
            <w:pPr>
              <w:rPr>
                <w:rFonts w:ascii="Arial" w:hAnsi="Arial" w:cs="Arial"/>
                <w:sz w:val="22"/>
                <w:szCs w:val="22"/>
              </w:rPr>
            </w:pPr>
          </w:p>
        </w:tc>
      </w:tr>
      <w:tr w:rsidR="003D46FD">
        <w:trPr>
          <w:tblCellSpacing w:w="0" w:type="dxa"/>
          <w:jc w:val="center"/>
        </w:trPr>
        <w:tc>
          <w:tcPr>
            <w:tcW w:w="0" w:type="auto"/>
            <w:tcMar>
              <w:top w:w="20" w:type="dxa"/>
              <w:left w:w="20" w:type="dxa"/>
              <w:bottom w:w="20" w:type="dxa"/>
              <w:right w:w="20" w:type="dxa"/>
            </w:tcMar>
            <w:vAlign w:val="center"/>
            <w:hideMark/>
          </w:tcPr>
          <w:p w:rsidR="003D46FD" w:rsidRPr="003D46FD" w:rsidRDefault="003D46FD">
            <w:pPr>
              <w:rPr>
                <w:rFonts w:ascii="Arial" w:hAnsi="Arial" w:cs="Arial"/>
                <w:sz w:val="22"/>
                <w:szCs w:val="22"/>
              </w:rPr>
            </w:pPr>
          </w:p>
        </w:tc>
        <w:tc>
          <w:tcPr>
            <w:tcW w:w="0" w:type="auto"/>
            <w:gridSpan w:val="7"/>
            <w:tcMar>
              <w:top w:w="20" w:type="dxa"/>
              <w:left w:w="20" w:type="dxa"/>
              <w:bottom w:w="20" w:type="dxa"/>
              <w:right w:w="20" w:type="dxa"/>
            </w:tcMar>
            <w:vAlign w:val="center"/>
            <w:hideMark/>
          </w:tcPr>
          <w:tbl>
            <w:tblPr>
              <w:tblW w:w="0" w:type="auto"/>
              <w:tblCellSpacing w:w="0" w:type="dxa"/>
              <w:tblCellMar>
                <w:left w:w="0" w:type="dxa"/>
                <w:right w:w="0" w:type="dxa"/>
              </w:tblCellMar>
              <w:tblLook w:val="04A0"/>
            </w:tblPr>
            <w:tblGrid>
              <w:gridCol w:w="958"/>
              <w:gridCol w:w="5836"/>
            </w:tblGrid>
            <w:tr w:rsidR="003D46FD" w:rsidRPr="003D46FD">
              <w:trPr>
                <w:tblCellSpacing w:w="0" w:type="dxa"/>
              </w:trPr>
              <w:tc>
                <w:tcPr>
                  <w:tcW w:w="0" w:type="auto"/>
                  <w:tcMar>
                    <w:top w:w="20" w:type="dxa"/>
                    <w:left w:w="20" w:type="dxa"/>
                    <w:bottom w:w="20" w:type="dxa"/>
                    <w:right w:w="20" w:type="dxa"/>
                  </w:tcMar>
                  <w:hideMark/>
                </w:tcPr>
                <w:p w:rsidR="003D46FD" w:rsidRPr="003D46FD" w:rsidRDefault="003D46FD">
                  <w:pPr>
                    <w:rPr>
                      <w:rFonts w:ascii="Arial" w:hAnsi="Arial" w:cs="Arial"/>
                      <w:sz w:val="22"/>
                      <w:szCs w:val="22"/>
                    </w:rPr>
                  </w:pPr>
                  <w:r w:rsidRPr="003D46FD">
                    <w:rPr>
                      <w:rFonts w:ascii="Arial" w:hAnsi="Arial" w:cs="Arial"/>
                      <w:sz w:val="22"/>
                      <w:szCs w:val="22"/>
                    </w:rPr>
                    <w:t>01/04/13 </w:t>
                  </w:r>
                </w:p>
              </w:tc>
              <w:tc>
                <w:tcPr>
                  <w:tcW w:w="0" w:type="auto"/>
                  <w:tcMar>
                    <w:top w:w="20" w:type="dxa"/>
                    <w:left w:w="20" w:type="dxa"/>
                    <w:bottom w:w="20" w:type="dxa"/>
                    <w:right w:w="20" w:type="dxa"/>
                  </w:tcMar>
                  <w:vAlign w:val="center"/>
                  <w:hideMark/>
                </w:tcPr>
                <w:p w:rsidR="003D46FD" w:rsidRPr="003D46FD" w:rsidRDefault="003D46FD">
                  <w:pPr>
                    <w:rPr>
                      <w:rFonts w:ascii="Arial" w:hAnsi="Arial" w:cs="Arial"/>
                      <w:sz w:val="22"/>
                      <w:szCs w:val="22"/>
                    </w:rPr>
                  </w:pPr>
                  <w:r w:rsidRPr="003D46FD">
                    <w:rPr>
                      <w:rFonts w:ascii="Arial" w:hAnsi="Arial" w:cs="Arial"/>
                      <w:sz w:val="22"/>
                      <w:szCs w:val="22"/>
                    </w:rPr>
                    <w:t>SENATE Referred to Regulated Industries; Judiciary; Rules</w:t>
                  </w:r>
                </w:p>
              </w:tc>
            </w:tr>
          </w:tbl>
          <w:p w:rsidR="003D46FD" w:rsidRPr="003D46FD" w:rsidRDefault="003D46FD">
            <w:pPr>
              <w:rPr>
                <w:rFonts w:ascii="Arial" w:hAnsi="Arial" w:cs="Arial"/>
                <w:sz w:val="22"/>
                <w:szCs w:val="22"/>
              </w:rPr>
            </w:pPr>
          </w:p>
        </w:tc>
      </w:tr>
      <w:tr w:rsidR="003D46FD">
        <w:trPr>
          <w:tblCellSpacing w:w="0" w:type="dxa"/>
          <w:jc w:val="center"/>
        </w:trPr>
        <w:tc>
          <w:tcPr>
            <w:tcW w:w="0" w:type="auto"/>
            <w:tcBorders>
              <w:top w:val="single" w:sz="4" w:space="0" w:color="000000"/>
            </w:tcBorders>
            <w:shd w:val="clear" w:color="auto" w:fill="EEEEEE"/>
            <w:tcMar>
              <w:top w:w="20" w:type="dxa"/>
              <w:left w:w="20" w:type="dxa"/>
              <w:bottom w:w="20" w:type="dxa"/>
              <w:right w:w="20" w:type="dxa"/>
            </w:tcMar>
            <w:vAlign w:val="center"/>
            <w:hideMark/>
          </w:tcPr>
          <w:p w:rsidR="003D46FD" w:rsidRPr="003D46FD" w:rsidRDefault="003D46FD">
            <w:pPr>
              <w:rPr>
                <w:rFonts w:ascii="Arial" w:hAnsi="Arial" w:cs="Arial"/>
                <w:sz w:val="22"/>
                <w:szCs w:val="22"/>
              </w:rPr>
            </w:pPr>
            <w:r w:rsidRPr="00BA2D07">
              <w:rPr>
                <w:rFonts w:ascii="Arial" w:hAnsi="Arial" w:cs="Arial"/>
                <w:sz w:val="22"/>
                <w:szCs w:val="22"/>
              </w:rPr>
              <w:t>SB 0156</w:t>
            </w:r>
          </w:p>
        </w:tc>
        <w:tc>
          <w:tcPr>
            <w:tcW w:w="0" w:type="auto"/>
            <w:tcBorders>
              <w:top w:val="single" w:sz="4" w:space="0" w:color="000000"/>
            </w:tcBorders>
            <w:shd w:val="clear" w:color="auto" w:fill="EEEEEE"/>
            <w:tcMar>
              <w:top w:w="20" w:type="dxa"/>
              <w:left w:w="20" w:type="dxa"/>
              <w:bottom w:w="20" w:type="dxa"/>
              <w:right w:w="20" w:type="dxa"/>
            </w:tcMar>
            <w:vAlign w:val="center"/>
            <w:hideMark/>
          </w:tcPr>
          <w:p w:rsidR="003D46FD" w:rsidRPr="003D46FD" w:rsidRDefault="003D46FD">
            <w:pPr>
              <w:rPr>
                <w:rFonts w:ascii="Arial" w:hAnsi="Arial" w:cs="Arial"/>
                <w:b/>
                <w:bCs/>
                <w:sz w:val="22"/>
                <w:szCs w:val="22"/>
              </w:rPr>
            </w:pPr>
            <w:r w:rsidRPr="003D46FD">
              <w:rPr>
                <w:rFonts w:ascii="Arial" w:hAnsi="Arial" w:cs="Arial"/>
                <w:b/>
                <w:bCs/>
                <w:sz w:val="22"/>
                <w:szCs w:val="22"/>
              </w:rPr>
              <w:t>Relating to Swimming Pools and Spas</w:t>
            </w:r>
          </w:p>
        </w:tc>
        <w:tc>
          <w:tcPr>
            <w:tcW w:w="0" w:type="auto"/>
            <w:tcBorders>
              <w:top w:val="single" w:sz="4" w:space="0" w:color="000000"/>
            </w:tcBorders>
            <w:shd w:val="clear" w:color="auto" w:fill="EEEEEE"/>
            <w:tcMar>
              <w:top w:w="20" w:type="dxa"/>
              <w:left w:w="20" w:type="dxa"/>
              <w:bottom w:w="20" w:type="dxa"/>
              <w:right w:w="20" w:type="dxa"/>
            </w:tcMar>
            <w:vAlign w:val="center"/>
            <w:hideMark/>
          </w:tcPr>
          <w:p w:rsidR="003D46FD" w:rsidRPr="003D46FD" w:rsidRDefault="003D46FD">
            <w:pPr>
              <w:rPr>
                <w:rFonts w:ascii="Arial" w:hAnsi="Arial" w:cs="Arial"/>
                <w:sz w:val="22"/>
                <w:szCs w:val="22"/>
              </w:rPr>
            </w:pPr>
            <w:r w:rsidRPr="00BA2D07">
              <w:rPr>
                <w:rFonts w:ascii="Arial" w:hAnsi="Arial" w:cs="Arial"/>
                <w:sz w:val="22"/>
                <w:szCs w:val="22"/>
              </w:rPr>
              <w:t>Detert</w:t>
            </w:r>
            <w:r w:rsidRPr="003D46FD">
              <w:rPr>
                <w:rFonts w:ascii="Arial" w:hAnsi="Arial" w:cs="Arial"/>
                <w:sz w:val="22"/>
                <w:szCs w:val="22"/>
              </w:rPr>
              <w:t xml:space="preserve"> </w:t>
            </w:r>
          </w:p>
        </w:tc>
        <w:tc>
          <w:tcPr>
            <w:tcW w:w="0" w:type="auto"/>
            <w:tcBorders>
              <w:top w:val="single" w:sz="4" w:space="0" w:color="000000"/>
            </w:tcBorders>
            <w:shd w:val="clear" w:color="auto" w:fill="EEEEEE"/>
            <w:tcMar>
              <w:top w:w="20" w:type="dxa"/>
              <w:left w:w="20" w:type="dxa"/>
              <w:bottom w:w="20" w:type="dxa"/>
              <w:right w:w="20" w:type="dxa"/>
            </w:tcMar>
            <w:vAlign w:val="center"/>
            <w:hideMark/>
          </w:tcPr>
          <w:p w:rsidR="003D46FD" w:rsidRPr="003D46FD" w:rsidRDefault="003D46FD">
            <w:pPr>
              <w:rPr>
                <w:rFonts w:ascii="Arial" w:hAnsi="Arial" w:cs="Arial"/>
                <w:sz w:val="22"/>
                <w:szCs w:val="22"/>
              </w:rPr>
            </w:pPr>
            <w:r w:rsidRPr="003D46FD">
              <w:rPr>
                <w:rFonts w:ascii="Arial" w:hAnsi="Arial" w:cs="Arial"/>
                <w:sz w:val="22"/>
                <w:szCs w:val="22"/>
              </w:rPr>
              <w:t>01/11/13</w:t>
            </w:r>
          </w:p>
        </w:tc>
        <w:tc>
          <w:tcPr>
            <w:tcW w:w="0" w:type="auto"/>
            <w:tcBorders>
              <w:top w:val="single" w:sz="4" w:space="0" w:color="000000"/>
            </w:tcBorders>
            <w:shd w:val="clear" w:color="auto" w:fill="EEEEEE"/>
            <w:tcMar>
              <w:top w:w="20" w:type="dxa"/>
              <w:left w:w="20" w:type="dxa"/>
              <w:bottom w:w="20" w:type="dxa"/>
              <w:right w:w="20" w:type="dxa"/>
            </w:tcMar>
            <w:vAlign w:val="center"/>
            <w:hideMark/>
          </w:tcPr>
          <w:p w:rsidR="003D46FD" w:rsidRPr="003D46FD" w:rsidRDefault="00B65B83">
            <w:pPr>
              <w:rPr>
                <w:rFonts w:ascii="Arial" w:hAnsi="Arial" w:cs="Arial"/>
                <w:sz w:val="22"/>
                <w:szCs w:val="22"/>
              </w:rPr>
            </w:pPr>
            <w:r w:rsidRPr="00B65B83">
              <w:rPr>
                <w:rFonts w:ascii="Arial" w:hAnsi="Arial" w:cs="Arial"/>
              </w:rPr>
              <w:pict>
                <v:shape id="_x0000_i1037" type="#_x0000_t75" style="width:16.5pt;height:14pt">
                  <v:imagedata r:id="rId7" o:title=""/>
                </v:shape>
              </w:pict>
            </w:r>
          </w:p>
        </w:tc>
        <w:tc>
          <w:tcPr>
            <w:tcW w:w="0" w:type="auto"/>
            <w:tcBorders>
              <w:top w:val="single" w:sz="4" w:space="0" w:color="000000"/>
            </w:tcBorders>
            <w:shd w:val="clear" w:color="auto" w:fill="EEEEEE"/>
            <w:tcMar>
              <w:top w:w="20" w:type="dxa"/>
              <w:left w:w="20" w:type="dxa"/>
              <w:bottom w:w="20" w:type="dxa"/>
              <w:right w:w="20" w:type="dxa"/>
            </w:tcMar>
            <w:vAlign w:val="center"/>
            <w:hideMark/>
          </w:tcPr>
          <w:p w:rsidR="003D46FD" w:rsidRPr="003D46FD" w:rsidRDefault="003D46FD">
            <w:pPr>
              <w:rPr>
                <w:rFonts w:ascii="Arial" w:hAnsi="Arial" w:cs="Arial"/>
                <w:sz w:val="22"/>
                <w:szCs w:val="22"/>
              </w:rPr>
            </w:pPr>
            <w:r w:rsidRPr="003D46FD">
              <w:rPr>
                <w:rFonts w:ascii="Arial" w:hAnsi="Arial" w:cs="Arial"/>
                <w:sz w:val="22"/>
                <w:szCs w:val="22"/>
              </w:rPr>
              <w:t> </w:t>
            </w:r>
          </w:p>
        </w:tc>
        <w:tc>
          <w:tcPr>
            <w:tcW w:w="0" w:type="auto"/>
            <w:tcBorders>
              <w:top w:val="single" w:sz="4" w:space="0" w:color="000000"/>
            </w:tcBorders>
            <w:shd w:val="clear" w:color="auto" w:fill="EEEEEE"/>
            <w:tcMar>
              <w:top w:w="20" w:type="dxa"/>
              <w:left w:w="20" w:type="dxa"/>
              <w:bottom w:w="20" w:type="dxa"/>
              <w:right w:w="20" w:type="dxa"/>
            </w:tcMar>
            <w:vAlign w:val="center"/>
            <w:hideMark/>
          </w:tcPr>
          <w:p w:rsidR="003D46FD" w:rsidRPr="003D46FD" w:rsidRDefault="003D46FD">
            <w:pPr>
              <w:jc w:val="center"/>
              <w:rPr>
                <w:rFonts w:ascii="Arial" w:hAnsi="Arial" w:cs="Arial"/>
                <w:sz w:val="22"/>
                <w:szCs w:val="22"/>
              </w:rPr>
            </w:pPr>
            <w:r w:rsidRPr="003D46FD">
              <w:rPr>
                <w:rFonts w:ascii="Arial" w:hAnsi="Arial" w:cs="Arial"/>
                <w:noProof/>
                <w:color w:val="003366"/>
                <w:sz w:val="22"/>
                <w:szCs w:val="22"/>
              </w:rPr>
              <w:drawing>
                <wp:inline distT="0" distB="0" distL="0" distR="0">
                  <wp:extent cx="133350" cy="133350"/>
                  <wp:effectExtent l="19050" t="0" r="0" b="0"/>
                  <wp:docPr id="23" name="Picture 23" descr="ADD 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DD NOTE">
                            <a:hlinkClick r:id="rId32"/>
                          </pic:cNvPr>
                          <pic:cNvPicPr>
                            <a:picLocks noChangeAspect="1" noChangeArrowheads="1"/>
                          </pic:cNvPicPr>
                        </pic:nvPicPr>
                        <pic:blipFill>
                          <a:blip r:embed="rId9"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p>
        </w:tc>
        <w:tc>
          <w:tcPr>
            <w:tcW w:w="0" w:type="auto"/>
            <w:tcBorders>
              <w:top w:val="single" w:sz="4" w:space="0" w:color="000000"/>
            </w:tcBorders>
            <w:shd w:val="clear" w:color="auto" w:fill="EEEEEE"/>
            <w:tcMar>
              <w:top w:w="20" w:type="dxa"/>
              <w:left w:w="20" w:type="dxa"/>
              <w:bottom w:w="20" w:type="dxa"/>
              <w:right w:w="20" w:type="dxa"/>
            </w:tcMar>
            <w:vAlign w:val="center"/>
            <w:hideMark/>
          </w:tcPr>
          <w:p w:rsidR="003D46FD" w:rsidRPr="003D46FD" w:rsidRDefault="003D46FD">
            <w:pPr>
              <w:jc w:val="center"/>
              <w:rPr>
                <w:rFonts w:ascii="Arial" w:hAnsi="Arial" w:cs="Arial"/>
                <w:sz w:val="22"/>
                <w:szCs w:val="22"/>
              </w:rPr>
            </w:pPr>
            <w:r w:rsidRPr="003D46FD">
              <w:rPr>
                <w:rFonts w:ascii="Arial" w:hAnsi="Arial" w:cs="Arial"/>
                <w:noProof/>
                <w:color w:val="003366"/>
                <w:sz w:val="22"/>
                <w:szCs w:val="22"/>
              </w:rPr>
              <w:drawing>
                <wp:inline distT="0" distB="0" distL="0" distR="0">
                  <wp:extent cx="114300" cy="114300"/>
                  <wp:effectExtent l="19050" t="0" r="0" b="0"/>
                  <wp:docPr id="24" name="Picture 24" descr="http://static.lobbytools.com/images/ico_dele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tatic.lobbytools.com/images/ico_delete.gif">
                            <a:hlinkClick r:id="rId33"/>
                          </pic:cNvPr>
                          <pic:cNvPicPr>
                            <a:picLocks noChangeAspect="1" noChangeArrowheads="1"/>
                          </pic:cNvPicPr>
                        </pic:nvPicPr>
                        <pic:blipFill>
                          <a:blip r:embed="rId11"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p>
        </w:tc>
      </w:tr>
      <w:tr w:rsidR="003D46FD">
        <w:trPr>
          <w:tblCellSpacing w:w="0" w:type="dxa"/>
          <w:jc w:val="center"/>
        </w:trPr>
        <w:tc>
          <w:tcPr>
            <w:tcW w:w="0" w:type="auto"/>
            <w:tcMar>
              <w:top w:w="20" w:type="dxa"/>
              <w:left w:w="20" w:type="dxa"/>
              <w:bottom w:w="20" w:type="dxa"/>
              <w:right w:w="20" w:type="dxa"/>
            </w:tcMar>
            <w:vAlign w:val="center"/>
            <w:hideMark/>
          </w:tcPr>
          <w:p w:rsidR="003D46FD" w:rsidRPr="003D46FD" w:rsidRDefault="003D46FD">
            <w:pPr>
              <w:rPr>
                <w:rFonts w:ascii="Arial" w:hAnsi="Arial" w:cs="Arial"/>
                <w:sz w:val="22"/>
                <w:szCs w:val="22"/>
              </w:rPr>
            </w:pPr>
          </w:p>
        </w:tc>
        <w:tc>
          <w:tcPr>
            <w:tcW w:w="0" w:type="auto"/>
            <w:gridSpan w:val="6"/>
            <w:tcMar>
              <w:top w:w="20" w:type="dxa"/>
              <w:left w:w="20" w:type="dxa"/>
              <w:bottom w:w="20" w:type="dxa"/>
              <w:right w:w="20" w:type="dxa"/>
            </w:tcMar>
            <w:vAlign w:val="center"/>
            <w:hideMark/>
          </w:tcPr>
          <w:p w:rsidR="003D46FD" w:rsidRPr="003D46FD" w:rsidRDefault="003D46FD">
            <w:pPr>
              <w:rPr>
                <w:rFonts w:ascii="Arial" w:hAnsi="Arial" w:cs="Arial"/>
                <w:sz w:val="22"/>
                <w:szCs w:val="22"/>
              </w:rPr>
            </w:pPr>
            <w:r w:rsidRPr="003D46FD">
              <w:rPr>
                <w:rFonts w:ascii="Arial" w:hAnsi="Arial" w:cs="Arial"/>
                <w:sz w:val="22"/>
                <w:szCs w:val="22"/>
              </w:rPr>
              <w:t>Swimming Pools and Spas; Revising the definition of the terms "contractor," "commercial pool/spa contractor," "residential pool/spa contractor," and "swimming pool/spa servicing contractor" to include the cleaning, maintenance, and water treatment of swimming pools and spas; revising eligibility requirements to take the swimming pool/spa servicing contractors' examination, etc. Effective Date: July 1, 2014</w:t>
            </w:r>
          </w:p>
        </w:tc>
        <w:tc>
          <w:tcPr>
            <w:tcW w:w="0" w:type="auto"/>
            <w:vAlign w:val="center"/>
            <w:hideMark/>
          </w:tcPr>
          <w:p w:rsidR="003D46FD" w:rsidRPr="003D46FD" w:rsidRDefault="003D46FD">
            <w:pPr>
              <w:rPr>
                <w:sz w:val="22"/>
                <w:szCs w:val="22"/>
              </w:rPr>
            </w:pPr>
          </w:p>
        </w:tc>
      </w:tr>
      <w:tr w:rsidR="003D46FD">
        <w:trPr>
          <w:tblCellSpacing w:w="0" w:type="dxa"/>
          <w:jc w:val="center"/>
        </w:trPr>
        <w:tc>
          <w:tcPr>
            <w:tcW w:w="0" w:type="auto"/>
            <w:tcMar>
              <w:top w:w="20" w:type="dxa"/>
              <w:left w:w="20" w:type="dxa"/>
              <w:bottom w:w="20" w:type="dxa"/>
              <w:right w:w="20" w:type="dxa"/>
            </w:tcMar>
            <w:vAlign w:val="center"/>
            <w:hideMark/>
          </w:tcPr>
          <w:p w:rsidR="003D46FD" w:rsidRPr="003D46FD" w:rsidRDefault="003D46FD">
            <w:pPr>
              <w:rPr>
                <w:rFonts w:ascii="Arial" w:hAnsi="Arial" w:cs="Arial"/>
                <w:sz w:val="22"/>
                <w:szCs w:val="22"/>
              </w:rPr>
            </w:pPr>
          </w:p>
        </w:tc>
        <w:tc>
          <w:tcPr>
            <w:tcW w:w="0" w:type="auto"/>
            <w:gridSpan w:val="7"/>
            <w:tcMar>
              <w:top w:w="20" w:type="dxa"/>
              <w:left w:w="20" w:type="dxa"/>
              <w:bottom w:w="20" w:type="dxa"/>
              <w:right w:w="20" w:type="dxa"/>
            </w:tcMar>
            <w:vAlign w:val="center"/>
            <w:hideMark/>
          </w:tcPr>
          <w:tbl>
            <w:tblPr>
              <w:tblW w:w="0" w:type="auto"/>
              <w:tblCellSpacing w:w="0" w:type="dxa"/>
              <w:tblCellMar>
                <w:left w:w="0" w:type="dxa"/>
                <w:right w:w="0" w:type="dxa"/>
              </w:tblCellMar>
              <w:tblLook w:val="04A0"/>
            </w:tblPr>
            <w:tblGrid>
              <w:gridCol w:w="958"/>
              <w:gridCol w:w="1459"/>
            </w:tblGrid>
            <w:tr w:rsidR="003D46FD" w:rsidRPr="003D46FD">
              <w:trPr>
                <w:tblCellSpacing w:w="0" w:type="dxa"/>
              </w:trPr>
              <w:tc>
                <w:tcPr>
                  <w:tcW w:w="0" w:type="auto"/>
                  <w:tcMar>
                    <w:top w:w="20" w:type="dxa"/>
                    <w:left w:w="20" w:type="dxa"/>
                    <w:bottom w:w="20" w:type="dxa"/>
                    <w:right w:w="20" w:type="dxa"/>
                  </w:tcMar>
                  <w:hideMark/>
                </w:tcPr>
                <w:p w:rsidR="003D46FD" w:rsidRPr="003D46FD" w:rsidRDefault="003D46FD">
                  <w:pPr>
                    <w:rPr>
                      <w:rFonts w:ascii="Arial" w:hAnsi="Arial" w:cs="Arial"/>
                      <w:sz w:val="22"/>
                      <w:szCs w:val="22"/>
                    </w:rPr>
                  </w:pPr>
                  <w:r w:rsidRPr="003D46FD">
                    <w:rPr>
                      <w:rFonts w:ascii="Arial" w:hAnsi="Arial" w:cs="Arial"/>
                      <w:sz w:val="22"/>
                      <w:szCs w:val="22"/>
                    </w:rPr>
                    <w:t>01/02/13 </w:t>
                  </w:r>
                </w:p>
              </w:tc>
              <w:tc>
                <w:tcPr>
                  <w:tcW w:w="0" w:type="auto"/>
                  <w:tcMar>
                    <w:top w:w="20" w:type="dxa"/>
                    <w:left w:w="20" w:type="dxa"/>
                    <w:bottom w:w="20" w:type="dxa"/>
                    <w:right w:w="20" w:type="dxa"/>
                  </w:tcMar>
                  <w:vAlign w:val="center"/>
                  <w:hideMark/>
                </w:tcPr>
                <w:p w:rsidR="003D46FD" w:rsidRPr="003D46FD" w:rsidRDefault="003D46FD">
                  <w:pPr>
                    <w:rPr>
                      <w:rFonts w:ascii="Arial" w:hAnsi="Arial" w:cs="Arial"/>
                      <w:sz w:val="22"/>
                      <w:szCs w:val="22"/>
                    </w:rPr>
                  </w:pPr>
                  <w:r w:rsidRPr="003D46FD">
                    <w:rPr>
                      <w:rFonts w:ascii="Arial" w:hAnsi="Arial" w:cs="Arial"/>
                      <w:sz w:val="22"/>
                      <w:szCs w:val="22"/>
                    </w:rPr>
                    <w:t>SENATE Filed</w:t>
                  </w:r>
                </w:p>
              </w:tc>
            </w:tr>
          </w:tbl>
          <w:p w:rsidR="003D46FD" w:rsidRPr="003D46FD" w:rsidRDefault="003D46FD">
            <w:pPr>
              <w:rPr>
                <w:rFonts w:ascii="Arial" w:hAnsi="Arial" w:cs="Arial"/>
                <w:sz w:val="22"/>
                <w:szCs w:val="22"/>
              </w:rPr>
            </w:pPr>
          </w:p>
        </w:tc>
      </w:tr>
      <w:tr w:rsidR="003D46FD">
        <w:trPr>
          <w:tblCellSpacing w:w="0" w:type="dxa"/>
          <w:jc w:val="center"/>
        </w:trPr>
        <w:tc>
          <w:tcPr>
            <w:tcW w:w="0" w:type="auto"/>
            <w:tcMar>
              <w:top w:w="20" w:type="dxa"/>
              <w:left w:w="20" w:type="dxa"/>
              <w:bottom w:w="20" w:type="dxa"/>
              <w:right w:w="20" w:type="dxa"/>
            </w:tcMar>
            <w:vAlign w:val="center"/>
            <w:hideMark/>
          </w:tcPr>
          <w:p w:rsidR="003D46FD" w:rsidRPr="003D46FD" w:rsidRDefault="003D46FD">
            <w:pPr>
              <w:rPr>
                <w:rFonts w:ascii="Arial" w:hAnsi="Arial" w:cs="Arial"/>
                <w:sz w:val="22"/>
                <w:szCs w:val="22"/>
              </w:rPr>
            </w:pPr>
          </w:p>
        </w:tc>
        <w:tc>
          <w:tcPr>
            <w:tcW w:w="0" w:type="auto"/>
            <w:gridSpan w:val="7"/>
            <w:tcMar>
              <w:top w:w="20" w:type="dxa"/>
              <w:left w:w="20" w:type="dxa"/>
              <w:bottom w:w="20" w:type="dxa"/>
              <w:right w:w="20" w:type="dxa"/>
            </w:tcMar>
            <w:vAlign w:val="center"/>
            <w:hideMark/>
          </w:tcPr>
          <w:tbl>
            <w:tblPr>
              <w:tblW w:w="0" w:type="auto"/>
              <w:tblCellSpacing w:w="0" w:type="dxa"/>
              <w:tblCellMar>
                <w:left w:w="0" w:type="dxa"/>
                <w:right w:w="0" w:type="dxa"/>
              </w:tblCellMar>
              <w:tblLook w:val="04A0"/>
            </w:tblPr>
            <w:tblGrid>
              <w:gridCol w:w="958"/>
              <w:gridCol w:w="7632"/>
            </w:tblGrid>
            <w:tr w:rsidR="003D46FD" w:rsidRPr="003D46FD">
              <w:trPr>
                <w:tblCellSpacing w:w="0" w:type="dxa"/>
              </w:trPr>
              <w:tc>
                <w:tcPr>
                  <w:tcW w:w="0" w:type="auto"/>
                  <w:tcMar>
                    <w:top w:w="20" w:type="dxa"/>
                    <w:left w:w="20" w:type="dxa"/>
                    <w:bottom w:w="20" w:type="dxa"/>
                    <w:right w:w="20" w:type="dxa"/>
                  </w:tcMar>
                  <w:hideMark/>
                </w:tcPr>
                <w:p w:rsidR="003D46FD" w:rsidRPr="003D46FD" w:rsidRDefault="003D46FD">
                  <w:pPr>
                    <w:rPr>
                      <w:rFonts w:ascii="Arial" w:hAnsi="Arial" w:cs="Arial"/>
                      <w:sz w:val="22"/>
                      <w:szCs w:val="22"/>
                    </w:rPr>
                  </w:pPr>
                  <w:r w:rsidRPr="003D46FD">
                    <w:rPr>
                      <w:rFonts w:ascii="Arial" w:hAnsi="Arial" w:cs="Arial"/>
                      <w:sz w:val="22"/>
                      <w:szCs w:val="22"/>
                    </w:rPr>
                    <w:t>01/11/13 </w:t>
                  </w:r>
                </w:p>
              </w:tc>
              <w:tc>
                <w:tcPr>
                  <w:tcW w:w="0" w:type="auto"/>
                  <w:tcMar>
                    <w:top w:w="20" w:type="dxa"/>
                    <w:left w:w="20" w:type="dxa"/>
                    <w:bottom w:w="20" w:type="dxa"/>
                    <w:right w:w="20" w:type="dxa"/>
                  </w:tcMar>
                  <w:vAlign w:val="center"/>
                  <w:hideMark/>
                </w:tcPr>
                <w:p w:rsidR="003D46FD" w:rsidRPr="003D46FD" w:rsidRDefault="003D46FD">
                  <w:pPr>
                    <w:rPr>
                      <w:rFonts w:ascii="Arial" w:hAnsi="Arial" w:cs="Arial"/>
                      <w:sz w:val="22"/>
                      <w:szCs w:val="22"/>
                    </w:rPr>
                  </w:pPr>
                  <w:r w:rsidRPr="003D46FD">
                    <w:rPr>
                      <w:rFonts w:ascii="Arial" w:hAnsi="Arial" w:cs="Arial"/>
                      <w:sz w:val="22"/>
                      <w:szCs w:val="22"/>
                    </w:rPr>
                    <w:t>SENATE Referred to Community Affairs; Regulated Industries; Appropriations Subcommittee on General Government; Appropriations</w:t>
                  </w:r>
                </w:p>
              </w:tc>
            </w:tr>
          </w:tbl>
          <w:p w:rsidR="003D46FD" w:rsidRPr="003D46FD" w:rsidRDefault="003D46FD">
            <w:pPr>
              <w:rPr>
                <w:rFonts w:ascii="Arial" w:hAnsi="Arial" w:cs="Arial"/>
                <w:sz w:val="22"/>
                <w:szCs w:val="22"/>
              </w:rPr>
            </w:pPr>
          </w:p>
        </w:tc>
      </w:tr>
      <w:tr w:rsidR="003D46FD">
        <w:trPr>
          <w:tblCellSpacing w:w="0" w:type="dxa"/>
          <w:jc w:val="center"/>
        </w:trPr>
        <w:tc>
          <w:tcPr>
            <w:tcW w:w="0" w:type="auto"/>
            <w:tcBorders>
              <w:top w:val="single" w:sz="4" w:space="0" w:color="000000"/>
            </w:tcBorders>
            <w:shd w:val="clear" w:color="auto" w:fill="EEEEEE"/>
            <w:tcMar>
              <w:top w:w="20" w:type="dxa"/>
              <w:left w:w="20" w:type="dxa"/>
              <w:bottom w:w="20" w:type="dxa"/>
              <w:right w:w="20" w:type="dxa"/>
            </w:tcMar>
            <w:vAlign w:val="center"/>
            <w:hideMark/>
          </w:tcPr>
          <w:p w:rsidR="003D46FD" w:rsidRPr="003D46FD" w:rsidRDefault="003D46FD">
            <w:pPr>
              <w:rPr>
                <w:rFonts w:ascii="Arial" w:hAnsi="Arial" w:cs="Arial"/>
                <w:sz w:val="22"/>
                <w:szCs w:val="22"/>
              </w:rPr>
            </w:pPr>
            <w:r w:rsidRPr="00BA2D07">
              <w:rPr>
                <w:rFonts w:ascii="Arial" w:hAnsi="Arial" w:cs="Arial"/>
                <w:sz w:val="22"/>
                <w:szCs w:val="22"/>
              </w:rPr>
              <w:t>SB 0238</w:t>
            </w:r>
          </w:p>
        </w:tc>
        <w:tc>
          <w:tcPr>
            <w:tcW w:w="0" w:type="auto"/>
            <w:tcBorders>
              <w:top w:val="single" w:sz="4" w:space="0" w:color="000000"/>
            </w:tcBorders>
            <w:shd w:val="clear" w:color="auto" w:fill="EEEEEE"/>
            <w:tcMar>
              <w:top w:w="20" w:type="dxa"/>
              <w:left w:w="20" w:type="dxa"/>
              <w:bottom w:w="20" w:type="dxa"/>
              <w:right w:w="20" w:type="dxa"/>
            </w:tcMar>
            <w:vAlign w:val="center"/>
            <w:hideMark/>
          </w:tcPr>
          <w:p w:rsidR="003D46FD" w:rsidRPr="003D46FD" w:rsidRDefault="003D46FD">
            <w:pPr>
              <w:rPr>
                <w:rFonts w:ascii="Arial" w:hAnsi="Arial" w:cs="Arial"/>
                <w:b/>
                <w:bCs/>
                <w:sz w:val="22"/>
                <w:szCs w:val="22"/>
              </w:rPr>
            </w:pPr>
            <w:r w:rsidRPr="003D46FD">
              <w:rPr>
                <w:rFonts w:ascii="Arial" w:hAnsi="Arial" w:cs="Arial"/>
                <w:b/>
                <w:bCs/>
                <w:sz w:val="22"/>
                <w:szCs w:val="22"/>
              </w:rPr>
              <w:t>Relating to Public-private Partnerships</w:t>
            </w:r>
          </w:p>
        </w:tc>
        <w:tc>
          <w:tcPr>
            <w:tcW w:w="0" w:type="auto"/>
            <w:tcBorders>
              <w:top w:val="single" w:sz="4" w:space="0" w:color="000000"/>
            </w:tcBorders>
            <w:shd w:val="clear" w:color="auto" w:fill="EEEEEE"/>
            <w:tcMar>
              <w:top w:w="20" w:type="dxa"/>
              <w:left w:w="20" w:type="dxa"/>
              <w:bottom w:w="20" w:type="dxa"/>
              <w:right w:w="20" w:type="dxa"/>
            </w:tcMar>
            <w:vAlign w:val="center"/>
            <w:hideMark/>
          </w:tcPr>
          <w:p w:rsidR="003D46FD" w:rsidRPr="003D46FD" w:rsidRDefault="003D46FD">
            <w:pPr>
              <w:rPr>
                <w:rFonts w:ascii="Arial" w:hAnsi="Arial" w:cs="Arial"/>
                <w:sz w:val="22"/>
                <w:szCs w:val="22"/>
              </w:rPr>
            </w:pPr>
            <w:r w:rsidRPr="00BA2D07">
              <w:rPr>
                <w:rFonts w:ascii="Arial" w:hAnsi="Arial" w:cs="Arial"/>
                <w:sz w:val="22"/>
                <w:szCs w:val="22"/>
              </w:rPr>
              <w:t>Flores</w:t>
            </w:r>
            <w:r w:rsidRPr="003D46FD">
              <w:rPr>
                <w:rFonts w:ascii="Arial" w:hAnsi="Arial" w:cs="Arial"/>
                <w:sz w:val="22"/>
                <w:szCs w:val="22"/>
              </w:rPr>
              <w:t xml:space="preserve"> </w:t>
            </w:r>
          </w:p>
        </w:tc>
        <w:tc>
          <w:tcPr>
            <w:tcW w:w="0" w:type="auto"/>
            <w:tcBorders>
              <w:top w:val="single" w:sz="4" w:space="0" w:color="000000"/>
            </w:tcBorders>
            <w:shd w:val="clear" w:color="auto" w:fill="EEEEEE"/>
            <w:tcMar>
              <w:top w:w="20" w:type="dxa"/>
              <w:left w:w="20" w:type="dxa"/>
              <w:bottom w:w="20" w:type="dxa"/>
              <w:right w:w="20" w:type="dxa"/>
            </w:tcMar>
            <w:vAlign w:val="center"/>
            <w:hideMark/>
          </w:tcPr>
          <w:p w:rsidR="003D46FD" w:rsidRPr="003D46FD" w:rsidRDefault="003D46FD">
            <w:pPr>
              <w:rPr>
                <w:rFonts w:ascii="Arial" w:hAnsi="Arial" w:cs="Arial"/>
                <w:sz w:val="22"/>
                <w:szCs w:val="22"/>
              </w:rPr>
            </w:pPr>
            <w:r w:rsidRPr="003D46FD">
              <w:rPr>
                <w:rFonts w:ascii="Arial" w:hAnsi="Arial" w:cs="Arial"/>
                <w:sz w:val="22"/>
                <w:szCs w:val="22"/>
              </w:rPr>
              <w:t>01/09/13</w:t>
            </w:r>
          </w:p>
        </w:tc>
        <w:tc>
          <w:tcPr>
            <w:tcW w:w="0" w:type="auto"/>
            <w:tcBorders>
              <w:top w:val="single" w:sz="4" w:space="0" w:color="000000"/>
            </w:tcBorders>
            <w:shd w:val="clear" w:color="auto" w:fill="EEEEEE"/>
            <w:tcMar>
              <w:top w:w="20" w:type="dxa"/>
              <w:left w:w="20" w:type="dxa"/>
              <w:bottom w:w="20" w:type="dxa"/>
              <w:right w:w="20" w:type="dxa"/>
            </w:tcMar>
            <w:vAlign w:val="center"/>
            <w:hideMark/>
          </w:tcPr>
          <w:p w:rsidR="003D46FD" w:rsidRPr="003D46FD" w:rsidRDefault="00B65B83">
            <w:pPr>
              <w:rPr>
                <w:rFonts w:ascii="Arial" w:hAnsi="Arial" w:cs="Arial"/>
                <w:sz w:val="22"/>
                <w:szCs w:val="22"/>
              </w:rPr>
            </w:pPr>
            <w:r w:rsidRPr="00B65B83">
              <w:rPr>
                <w:rFonts w:ascii="Arial" w:hAnsi="Arial" w:cs="Arial"/>
              </w:rPr>
              <w:pict>
                <v:shape id="_x0000_i1038" type="#_x0000_t75" style="width:16.5pt;height:14pt">
                  <v:imagedata r:id="rId7" o:title=""/>
                </v:shape>
              </w:pict>
            </w:r>
          </w:p>
        </w:tc>
        <w:tc>
          <w:tcPr>
            <w:tcW w:w="0" w:type="auto"/>
            <w:tcBorders>
              <w:top w:val="single" w:sz="4" w:space="0" w:color="000000"/>
            </w:tcBorders>
            <w:shd w:val="clear" w:color="auto" w:fill="EEEEEE"/>
            <w:tcMar>
              <w:top w:w="20" w:type="dxa"/>
              <w:left w:w="20" w:type="dxa"/>
              <w:bottom w:w="20" w:type="dxa"/>
              <w:right w:w="20" w:type="dxa"/>
            </w:tcMar>
            <w:vAlign w:val="center"/>
            <w:hideMark/>
          </w:tcPr>
          <w:p w:rsidR="003D46FD" w:rsidRPr="003D46FD" w:rsidRDefault="003D46FD">
            <w:pPr>
              <w:rPr>
                <w:rFonts w:ascii="Arial" w:hAnsi="Arial" w:cs="Arial"/>
                <w:sz w:val="22"/>
                <w:szCs w:val="22"/>
              </w:rPr>
            </w:pPr>
            <w:r w:rsidRPr="003D46FD">
              <w:rPr>
                <w:rFonts w:ascii="Arial" w:hAnsi="Arial" w:cs="Arial"/>
                <w:sz w:val="22"/>
                <w:szCs w:val="22"/>
              </w:rPr>
              <w:t> </w:t>
            </w:r>
          </w:p>
        </w:tc>
        <w:tc>
          <w:tcPr>
            <w:tcW w:w="0" w:type="auto"/>
            <w:tcBorders>
              <w:top w:val="single" w:sz="4" w:space="0" w:color="000000"/>
            </w:tcBorders>
            <w:shd w:val="clear" w:color="auto" w:fill="EEEEEE"/>
            <w:tcMar>
              <w:top w:w="20" w:type="dxa"/>
              <w:left w:w="20" w:type="dxa"/>
              <w:bottom w:w="20" w:type="dxa"/>
              <w:right w:w="20" w:type="dxa"/>
            </w:tcMar>
            <w:vAlign w:val="center"/>
            <w:hideMark/>
          </w:tcPr>
          <w:p w:rsidR="003D46FD" w:rsidRPr="003D46FD" w:rsidRDefault="003D46FD">
            <w:pPr>
              <w:jc w:val="center"/>
              <w:rPr>
                <w:rFonts w:ascii="Arial" w:hAnsi="Arial" w:cs="Arial"/>
                <w:sz w:val="22"/>
                <w:szCs w:val="22"/>
              </w:rPr>
            </w:pPr>
            <w:r w:rsidRPr="003D46FD">
              <w:rPr>
                <w:rFonts w:ascii="Arial" w:hAnsi="Arial" w:cs="Arial"/>
                <w:noProof/>
                <w:color w:val="003366"/>
                <w:sz w:val="22"/>
                <w:szCs w:val="22"/>
              </w:rPr>
              <w:drawing>
                <wp:inline distT="0" distB="0" distL="0" distR="0">
                  <wp:extent cx="133350" cy="133350"/>
                  <wp:effectExtent l="19050" t="0" r="0" b="0"/>
                  <wp:docPr id="25" name="Picture 25" descr="ADD 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D NOTE">
                            <a:hlinkClick r:id="rId34"/>
                          </pic:cNvPr>
                          <pic:cNvPicPr>
                            <a:picLocks noChangeAspect="1" noChangeArrowheads="1"/>
                          </pic:cNvPicPr>
                        </pic:nvPicPr>
                        <pic:blipFill>
                          <a:blip r:embed="rId9"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p>
        </w:tc>
        <w:tc>
          <w:tcPr>
            <w:tcW w:w="0" w:type="auto"/>
            <w:tcBorders>
              <w:top w:val="single" w:sz="4" w:space="0" w:color="000000"/>
            </w:tcBorders>
            <w:shd w:val="clear" w:color="auto" w:fill="EEEEEE"/>
            <w:tcMar>
              <w:top w:w="20" w:type="dxa"/>
              <w:left w:w="20" w:type="dxa"/>
              <w:bottom w:w="20" w:type="dxa"/>
              <w:right w:w="20" w:type="dxa"/>
            </w:tcMar>
            <w:vAlign w:val="center"/>
            <w:hideMark/>
          </w:tcPr>
          <w:p w:rsidR="003D46FD" w:rsidRPr="003D46FD" w:rsidRDefault="003D46FD">
            <w:pPr>
              <w:jc w:val="center"/>
              <w:rPr>
                <w:rFonts w:ascii="Arial" w:hAnsi="Arial" w:cs="Arial"/>
                <w:sz w:val="22"/>
                <w:szCs w:val="22"/>
              </w:rPr>
            </w:pPr>
            <w:r w:rsidRPr="003D46FD">
              <w:rPr>
                <w:rFonts w:ascii="Arial" w:hAnsi="Arial" w:cs="Arial"/>
                <w:noProof/>
                <w:color w:val="003366"/>
                <w:sz w:val="22"/>
                <w:szCs w:val="22"/>
              </w:rPr>
              <w:drawing>
                <wp:inline distT="0" distB="0" distL="0" distR="0">
                  <wp:extent cx="114300" cy="114300"/>
                  <wp:effectExtent l="19050" t="0" r="0" b="0"/>
                  <wp:docPr id="26" name="Picture 26" descr="http://static.lobbytools.com/images/ico_dele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tatic.lobbytools.com/images/ico_delete.gif">
                            <a:hlinkClick r:id="rId35"/>
                          </pic:cNvPr>
                          <pic:cNvPicPr>
                            <a:picLocks noChangeAspect="1" noChangeArrowheads="1"/>
                          </pic:cNvPicPr>
                        </pic:nvPicPr>
                        <pic:blipFill>
                          <a:blip r:embed="rId11"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p>
        </w:tc>
      </w:tr>
      <w:tr w:rsidR="003D46FD">
        <w:trPr>
          <w:tblCellSpacing w:w="0" w:type="dxa"/>
          <w:jc w:val="center"/>
        </w:trPr>
        <w:tc>
          <w:tcPr>
            <w:tcW w:w="0" w:type="auto"/>
            <w:tcMar>
              <w:top w:w="20" w:type="dxa"/>
              <w:left w:w="20" w:type="dxa"/>
              <w:bottom w:w="20" w:type="dxa"/>
              <w:right w:w="20" w:type="dxa"/>
            </w:tcMar>
            <w:vAlign w:val="center"/>
            <w:hideMark/>
          </w:tcPr>
          <w:p w:rsidR="003D46FD" w:rsidRPr="003D46FD" w:rsidRDefault="003D46FD">
            <w:pPr>
              <w:rPr>
                <w:rFonts w:ascii="Arial" w:hAnsi="Arial" w:cs="Arial"/>
                <w:sz w:val="22"/>
                <w:szCs w:val="22"/>
              </w:rPr>
            </w:pPr>
            <w:r w:rsidRPr="003D46FD">
              <w:rPr>
                <w:rFonts w:ascii="Arial" w:hAnsi="Arial" w:cs="Arial"/>
                <w:sz w:val="22"/>
                <w:szCs w:val="22"/>
              </w:rPr>
              <w:t>(</w:t>
            </w:r>
            <w:r w:rsidRPr="003D46FD">
              <w:rPr>
                <w:rFonts w:ascii="Arial" w:hAnsi="Arial" w:cs="Arial"/>
                <w:b/>
                <w:bCs/>
                <w:sz w:val="22"/>
                <w:szCs w:val="22"/>
              </w:rPr>
              <w:t>C:</w:t>
            </w:r>
            <w:r w:rsidRPr="003D46FD">
              <w:rPr>
                <w:rFonts w:ascii="Arial" w:hAnsi="Arial" w:cs="Arial"/>
                <w:sz w:val="22"/>
                <w:szCs w:val="22"/>
              </w:rPr>
              <w:t xml:space="preserve"> </w:t>
            </w:r>
            <w:r w:rsidRPr="00BA2D07">
              <w:rPr>
                <w:rFonts w:ascii="Arial" w:hAnsi="Arial" w:cs="Arial"/>
                <w:sz w:val="22"/>
                <w:szCs w:val="22"/>
              </w:rPr>
              <w:t>0085</w:t>
            </w:r>
            <w:r w:rsidRPr="003D46FD">
              <w:rPr>
                <w:rFonts w:ascii="Arial" w:hAnsi="Arial" w:cs="Arial"/>
                <w:sz w:val="22"/>
                <w:szCs w:val="22"/>
              </w:rPr>
              <w:t xml:space="preserve"> </w:t>
            </w:r>
            <w:r w:rsidRPr="00BA2D07">
              <w:rPr>
                <w:rFonts w:ascii="Arial" w:hAnsi="Arial" w:cs="Arial"/>
                <w:sz w:val="22"/>
                <w:szCs w:val="22"/>
              </w:rPr>
              <w:t>0084</w:t>
            </w:r>
            <w:r w:rsidRPr="003D46FD">
              <w:rPr>
                <w:rFonts w:ascii="Arial" w:hAnsi="Arial" w:cs="Arial"/>
                <w:sz w:val="22"/>
                <w:szCs w:val="22"/>
              </w:rPr>
              <w:t xml:space="preserve"> )</w:t>
            </w:r>
          </w:p>
        </w:tc>
        <w:tc>
          <w:tcPr>
            <w:tcW w:w="0" w:type="auto"/>
            <w:gridSpan w:val="6"/>
            <w:tcMar>
              <w:top w:w="20" w:type="dxa"/>
              <w:left w:w="20" w:type="dxa"/>
              <w:bottom w:w="20" w:type="dxa"/>
              <w:right w:w="20" w:type="dxa"/>
            </w:tcMar>
            <w:vAlign w:val="center"/>
            <w:hideMark/>
          </w:tcPr>
          <w:p w:rsidR="003D46FD" w:rsidRPr="003D46FD" w:rsidRDefault="003D46FD">
            <w:pPr>
              <w:rPr>
                <w:rFonts w:ascii="Arial" w:hAnsi="Arial" w:cs="Arial"/>
                <w:sz w:val="22"/>
                <w:szCs w:val="22"/>
              </w:rPr>
            </w:pPr>
            <w:r w:rsidRPr="003D46FD">
              <w:rPr>
                <w:rFonts w:ascii="Arial" w:hAnsi="Arial" w:cs="Arial"/>
                <w:sz w:val="22"/>
                <w:szCs w:val="22"/>
              </w:rPr>
              <w:t>Public-private Partnerships; Providing legislative findings and intent relating to the construction or upgrade of facilities by private entities which are used predominately for a public purpose; requiring public entities to develop and adopt guidelines governing procedures and criteria for the selection of projects and public-private agreements; providing for financing from private sources and public entities; providing for the applicability of sovereign immunity for public entities with respect to qualified projects, etc. Effective Date: July 1, 2013</w:t>
            </w:r>
          </w:p>
        </w:tc>
        <w:tc>
          <w:tcPr>
            <w:tcW w:w="0" w:type="auto"/>
            <w:vAlign w:val="center"/>
            <w:hideMark/>
          </w:tcPr>
          <w:p w:rsidR="003D46FD" w:rsidRPr="003D46FD" w:rsidRDefault="003D46FD">
            <w:pPr>
              <w:rPr>
                <w:sz w:val="22"/>
                <w:szCs w:val="22"/>
              </w:rPr>
            </w:pPr>
          </w:p>
        </w:tc>
      </w:tr>
      <w:tr w:rsidR="003D46FD">
        <w:trPr>
          <w:tblCellSpacing w:w="0" w:type="dxa"/>
          <w:jc w:val="center"/>
        </w:trPr>
        <w:tc>
          <w:tcPr>
            <w:tcW w:w="0" w:type="auto"/>
            <w:tcMar>
              <w:top w:w="20" w:type="dxa"/>
              <w:left w:w="20" w:type="dxa"/>
              <w:bottom w:w="20" w:type="dxa"/>
              <w:right w:w="20" w:type="dxa"/>
            </w:tcMar>
            <w:vAlign w:val="center"/>
            <w:hideMark/>
          </w:tcPr>
          <w:p w:rsidR="003D46FD" w:rsidRPr="003D46FD" w:rsidRDefault="003D46FD">
            <w:pPr>
              <w:rPr>
                <w:rFonts w:ascii="Arial" w:hAnsi="Arial" w:cs="Arial"/>
                <w:sz w:val="22"/>
                <w:szCs w:val="22"/>
              </w:rPr>
            </w:pPr>
          </w:p>
        </w:tc>
        <w:tc>
          <w:tcPr>
            <w:tcW w:w="0" w:type="auto"/>
            <w:gridSpan w:val="7"/>
            <w:tcMar>
              <w:top w:w="20" w:type="dxa"/>
              <w:left w:w="20" w:type="dxa"/>
              <w:bottom w:w="20" w:type="dxa"/>
              <w:right w:w="20" w:type="dxa"/>
            </w:tcMar>
            <w:vAlign w:val="center"/>
            <w:hideMark/>
          </w:tcPr>
          <w:tbl>
            <w:tblPr>
              <w:tblW w:w="0" w:type="auto"/>
              <w:tblCellSpacing w:w="0" w:type="dxa"/>
              <w:tblCellMar>
                <w:left w:w="0" w:type="dxa"/>
                <w:right w:w="0" w:type="dxa"/>
              </w:tblCellMar>
              <w:tblLook w:val="04A0"/>
            </w:tblPr>
            <w:tblGrid>
              <w:gridCol w:w="958"/>
              <w:gridCol w:w="1459"/>
            </w:tblGrid>
            <w:tr w:rsidR="003D46FD" w:rsidRPr="003D46FD">
              <w:trPr>
                <w:tblCellSpacing w:w="0" w:type="dxa"/>
              </w:trPr>
              <w:tc>
                <w:tcPr>
                  <w:tcW w:w="0" w:type="auto"/>
                  <w:tcMar>
                    <w:top w:w="20" w:type="dxa"/>
                    <w:left w:w="20" w:type="dxa"/>
                    <w:bottom w:w="20" w:type="dxa"/>
                    <w:right w:w="20" w:type="dxa"/>
                  </w:tcMar>
                  <w:hideMark/>
                </w:tcPr>
                <w:p w:rsidR="003D46FD" w:rsidRPr="003D46FD" w:rsidRDefault="003D46FD">
                  <w:pPr>
                    <w:rPr>
                      <w:rFonts w:ascii="Arial" w:hAnsi="Arial" w:cs="Arial"/>
                      <w:sz w:val="22"/>
                      <w:szCs w:val="22"/>
                    </w:rPr>
                  </w:pPr>
                  <w:r w:rsidRPr="003D46FD">
                    <w:rPr>
                      <w:rFonts w:ascii="Arial" w:hAnsi="Arial" w:cs="Arial"/>
                      <w:sz w:val="22"/>
                      <w:szCs w:val="22"/>
                    </w:rPr>
                    <w:t>01/09/13 </w:t>
                  </w:r>
                </w:p>
              </w:tc>
              <w:tc>
                <w:tcPr>
                  <w:tcW w:w="0" w:type="auto"/>
                  <w:tcMar>
                    <w:top w:w="20" w:type="dxa"/>
                    <w:left w:w="20" w:type="dxa"/>
                    <w:bottom w:w="20" w:type="dxa"/>
                    <w:right w:w="20" w:type="dxa"/>
                  </w:tcMar>
                  <w:vAlign w:val="center"/>
                  <w:hideMark/>
                </w:tcPr>
                <w:p w:rsidR="003D46FD" w:rsidRPr="003D46FD" w:rsidRDefault="003D46FD">
                  <w:pPr>
                    <w:rPr>
                      <w:rFonts w:ascii="Arial" w:hAnsi="Arial" w:cs="Arial"/>
                      <w:sz w:val="22"/>
                      <w:szCs w:val="22"/>
                    </w:rPr>
                  </w:pPr>
                  <w:r w:rsidRPr="003D46FD">
                    <w:rPr>
                      <w:rFonts w:ascii="Arial" w:hAnsi="Arial" w:cs="Arial"/>
                      <w:sz w:val="22"/>
                      <w:szCs w:val="22"/>
                    </w:rPr>
                    <w:t>SENATE Filed</w:t>
                  </w:r>
                </w:p>
              </w:tc>
            </w:tr>
          </w:tbl>
          <w:p w:rsidR="003D46FD" w:rsidRPr="003D46FD" w:rsidRDefault="003D46FD">
            <w:pPr>
              <w:rPr>
                <w:rFonts w:ascii="Arial" w:hAnsi="Arial" w:cs="Arial"/>
                <w:sz w:val="22"/>
                <w:szCs w:val="22"/>
              </w:rPr>
            </w:pPr>
          </w:p>
        </w:tc>
      </w:tr>
      <w:tr w:rsidR="003D46FD">
        <w:trPr>
          <w:tblCellSpacing w:w="0" w:type="dxa"/>
          <w:jc w:val="center"/>
        </w:trPr>
        <w:tc>
          <w:tcPr>
            <w:tcW w:w="0" w:type="auto"/>
            <w:tcBorders>
              <w:top w:val="single" w:sz="4" w:space="0" w:color="000000"/>
            </w:tcBorders>
            <w:shd w:val="clear" w:color="auto" w:fill="EEEEEE"/>
            <w:tcMar>
              <w:top w:w="20" w:type="dxa"/>
              <w:left w:w="20" w:type="dxa"/>
              <w:bottom w:w="20" w:type="dxa"/>
              <w:right w:w="20" w:type="dxa"/>
            </w:tcMar>
            <w:vAlign w:val="center"/>
            <w:hideMark/>
          </w:tcPr>
          <w:p w:rsidR="003D46FD" w:rsidRPr="003D46FD" w:rsidRDefault="003D46FD">
            <w:pPr>
              <w:rPr>
                <w:rFonts w:ascii="Arial" w:hAnsi="Arial" w:cs="Arial"/>
                <w:sz w:val="22"/>
                <w:szCs w:val="22"/>
              </w:rPr>
            </w:pPr>
            <w:r w:rsidRPr="00BA2D07">
              <w:rPr>
                <w:rFonts w:ascii="Arial" w:hAnsi="Arial" w:cs="Arial"/>
                <w:sz w:val="22"/>
                <w:szCs w:val="22"/>
              </w:rPr>
              <w:t>SB 0242</w:t>
            </w:r>
          </w:p>
        </w:tc>
        <w:tc>
          <w:tcPr>
            <w:tcW w:w="0" w:type="auto"/>
            <w:tcBorders>
              <w:top w:val="single" w:sz="4" w:space="0" w:color="000000"/>
            </w:tcBorders>
            <w:shd w:val="clear" w:color="auto" w:fill="EEEEEE"/>
            <w:tcMar>
              <w:top w:w="20" w:type="dxa"/>
              <w:left w:w="20" w:type="dxa"/>
              <w:bottom w:w="20" w:type="dxa"/>
              <w:right w:w="20" w:type="dxa"/>
            </w:tcMar>
            <w:vAlign w:val="center"/>
            <w:hideMark/>
          </w:tcPr>
          <w:p w:rsidR="003D46FD" w:rsidRPr="003D46FD" w:rsidRDefault="003D46FD">
            <w:pPr>
              <w:rPr>
                <w:rFonts w:ascii="Arial" w:hAnsi="Arial" w:cs="Arial"/>
                <w:b/>
                <w:bCs/>
                <w:sz w:val="22"/>
                <w:szCs w:val="22"/>
              </w:rPr>
            </w:pPr>
            <w:r w:rsidRPr="003D46FD">
              <w:rPr>
                <w:rFonts w:ascii="Arial" w:hAnsi="Arial" w:cs="Arial"/>
                <w:b/>
                <w:bCs/>
                <w:sz w:val="22"/>
                <w:szCs w:val="22"/>
              </w:rPr>
              <w:t>Relating to Interstate Insurance Product Regulation Compact</w:t>
            </w:r>
          </w:p>
        </w:tc>
        <w:tc>
          <w:tcPr>
            <w:tcW w:w="0" w:type="auto"/>
            <w:tcBorders>
              <w:top w:val="single" w:sz="4" w:space="0" w:color="000000"/>
            </w:tcBorders>
            <w:shd w:val="clear" w:color="auto" w:fill="EEEEEE"/>
            <w:tcMar>
              <w:top w:w="20" w:type="dxa"/>
              <w:left w:w="20" w:type="dxa"/>
              <w:bottom w:w="20" w:type="dxa"/>
              <w:right w:w="20" w:type="dxa"/>
            </w:tcMar>
            <w:vAlign w:val="center"/>
            <w:hideMark/>
          </w:tcPr>
          <w:p w:rsidR="003D46FD" w:rsidRPr="003D46FD" w:rsidRDefault="003D46FD">
            <w:pPr>
              <w:rPr>
                <w:rFonts w:ascii="Arial" w:hAnsi="Arial" w:cs="Arial"/>
                <w:sz w:val="22"/>
                <w:szCs w:val="22"/>
              </w:rPr>
            </w:pPr>
            <w:r w:rsidRPr="00BA2D07">
              <w:rPr>
                <w:rFonts w:ascii="Arial" w:hAnsi="Arial" w:cs="Arial"/>
                <w:sz w:val="22"/>
                <w:szCs w:val="22"/>
              </w:rPr>
              <w:t>Hukill</w:t>
            </w:r>
            <w:r w:rsidRPr="003D46FD">
              <w:rPr>
                <w:rFonts w:ascii="Arial" w:hAnsi="Arial" w:cs="Arial"/>
                <w:sz w:val="22"/>
                <w:szCs w:val="22"/>
              </w:rPr>
              <w:t xml:space="preserve"> </w:t>
            </w:r>
          </w:p>
        </w:tc>
        <w:tc>
          <w:tcPr>
            <w:tcW w:w="0" w:type="auto"/>
            <w:tcBorders>
              <w:top w:val="single" w:sz="4" w:space="0" w:color="000000"/>
            </w:tcBorders>
            <w:shd w:val="clear" w:color="auto" w:fill="EEEEEE"/>
            <w:tcMar>
              <w:top w:w="20" w:type="dxa"/>
              <w:left w:w="20" w:type="dxa"/>
              <w:bottom w:w="20" w:type="dxa"/>
              <w:right w:w="20" w:type="dxa"/>
            </w:tcMar>
            <w:vAlign w:val="center"/>
            <w:hideMark/>
          </w:tcPr>
          <w:p w:rsidR="003D46FD" w:rsidRPr="003D46FD" w:rsidRDefault="003D46FD">
            <w:pPr>
              <w:rPr>
                <w:rFonts w:ascii="Arial" w:hAnsi="Arial" w:cs="Arial"/>
                <w:sz w:val="22"/>
                <w:szCs w:val="22"/>
              </w:rPr>
            </w:pPr>
            <w:r w:rsidRPr="003D46FD">
              <w:rPr>
                <w:rFonts w:ascii="Arial" w:hAnsi="Arial" w:cs="Arial"/>
                <w:sz w:val="22"/>
                <w:szCs w:val="22"/>
              </w:rPr>
              <w:t>01/10/13</w:t>
            </w:r>
          </w:p>
        </w:tc>
        <w:tc>
          <w:tcPr>
            <w:tcW w:w="0" w:type="auto"/>
            <w:tcBorders>
              <w:top w:val="single" w:sz="4" w:space="0" w:color="000000"/>
            </w:tcBorders>
            <w:shd w:val="clear" w:color="auto" w:fill="EEEEEE"/>
            <w:tcMar>
              <w:top w:w="20" w:type="dxa"/>
              <w:left w:w="20" w:type="dxa"/>
              <w:bottom w:w="20" w:type="dxa"/>
              <w:right w:w="20" w:type="dxa"/>
            </w:tcMar>
            <w:vAlign w:val="center"/>
            <w:hideMark/>
          </w:tcPr>
          <w:p w:rsidR="003D46FD" w:rsidRPr="003D46FD" w:rsidRDefault="00B65B83">
            <w:pPr>
              <w:rPr>
                <w:rFonts w:ascii="Arial" w:hAnsi="Arial" w:cs="Arial"/>
                <w:sz w:val="22"/>
                <w:szCs w:val="22"/>
              </w:rPr>
            </w:pPr>
            <w:r w:rsidRPr="00B65B83">
              <w:rPr>
                <w:rFonts w:ascii="Arial" w:hAnsi="Arial" w:cs="Arial"/>
              </w:rPr>
              <w:pict>
                <v:shape id="_x0000_i1039" type="#_x0000_t75" style="width:16.5pt;height:14pt">
                  <v:imagedata r:id="rId7" o:title=""/>
                </v:shape>
              </w:pict>
            </w:r>
          </w:p>
        </w:tc>
        <w:tc>
          <w:tcPr>
            <w:tcW w:w="0" w:type="auto"/>
            <w:tcBorders>
              <w:top w:val="single" w:sz="4" w:space="0" w:color="000000"/>
            </w:tcBorders>
            <w:shd w:val="clear" w:color="auto" w:fill="EEEEEE"/>
            <w:tcMar>
              <w:top w:w="20" w:type="dxa"/>
              <w:left w:w="20" w:type="dxa"/>
              <w:bottom w:w="20" w:type="dxa"/>
              <w:right w:w="20" w:type="dxa"/>
            </w:tcMar>
            <w:vAlign w:val="center"/>
            <w:hideMark/>
          </w:tcPr>
          <w:p w:rsidR="003D46FD" w:rsidRPr="003D46FD" w:rsidRDefault="003D46FD">
            <w:pPr>
              <w:rPr>
                <w:rFonts w:ascii="Arial" w:hAnsi="Arial" w:cs="Arial"/>
                <w:sz w:val="22"/>
                <w:szCs w:val="22"/>
              </w:rPr>
            </w:pPr>
            <w:r w:rsidRPr="003D46FD">
              <w:rPr>
                <w:rFonts w:ascii="Arial" w:hAnsi="Arial" w:cs="Arial"/>
                <w:sz w:val="22"/>
                <w:szCs w:val="22"/>
              </w:rPr>
              <w:t> </w:t>
            </w:r>
          </w:p>
        </w:tc>
        <w:tc>
          <w:tcPr>
            <w:tcW w:w="0" w:type="auto"/>
            <w:tcBorders>
              <w:top w:val="single" w:sz="4" w:space="0" w:color="000000"/>
            </w:tcBorders>
            <w:shd w:val="clear" w:color="auto" w:fill="EEEEEE"/>
            <w:tcMar>
              <w:top w:w="20" w:type="dxa"/>
              <w:left w:w="20" w:type="dxa"/>
              <w:bottom w:w="20" w:type="dxa"/>
              <w:right w:w="20" w:type="dxa"/>
            </w:tcMar>
            <w:vAlign w:val="center"/>
            <w:hideMark/>
          </w:tcPr>
          <w:p w:rsidR="003D46FD" w:rsidRPr="003D46FD" w:rsidRDefault="003D46FD">
            <w:pPr>
              <w:jc w:val="center"/>
              <w:rPr>
                <w:rFonts w:ascii="Arial" w:hAnsi="Arial" w:cs="Arial"/>
                <w:sz w:val="22"/>
                <w:szCs w:val="22"/>
              </w:rPr>
            </w:pPr>
            <w:r w:rsidRPr="003D46FD">
              <w:rPr>
                <w:rFonts w:ascii="Arial" w:hAnsi="Arial" w:cs="Arial"/>
                <w:noProof/>
                <w:color w:val="003366"/>
                <w:sz w:val="22"/>
                <w:szCs w:val="22"/>
              </w:rPr>
              <w:drawing>
                <wp:inline distT="0" distB="0" distL="0" distR="0">
                  <wp:extent cx="133350" cy="133350"/>
                  <wp:effectExtent l="19050" t="0" r="0" b="0"/>
                  <wp:docPr id="27" name="Picture 27" descr="ADD 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ADD NOTE">
                            <a:hlinkClick r:id="rId36"/>
                          </pic:cNvPr>
                          <pic:cNvPicPr>
                            <a:picLocks noChangeAspect="1" noChangeArrowheads="1"/>
                          </pic:cNvPicPr>
                        </pic:nvPicPr>
                        <pic:blipFill>
                          <a:blip r:embed="rId9"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p>
        </w:tc>
        <w:tc>
          <w:tcPr>
            <w:tcW w:w="0" w:type="auto"/>
            <w:tcBorders>
              <w:top w:val="single" w:sz="4" w:space="0" w:color="000000"/>
            </w:tcBorders>
            <w:shd w:val="clear" w:color="auto" w:fill="EEEEEE"/>
            <w:tcMar>
              <w:top w:w="20" w:type="dxa"/>
              <w:left w:w="20" w:type="dxa"/>
              <w:bottom w:w="20" w:type="dxa"/>
              <w:right w:w="20" w:type="dxa"/>
            </w:tcMar>
            <w:vAlign w:val="center"/>
            <w:hideMark/>
          </w:tcPr>
          <w:p w:rsidR="003D46FD" w:rsidRPr="003D46FD" w:rsidRDefault="003D46FD">
            <w:pPr>
              <w:jc w:val="center"/>
              <w:rPr>
                <w:rFonts w:ascii="Arial" w:hAnsi="Arial" w:cs="Arial"/>
                <w:sz w:val="22"/>
                <w:szCs w:val="22"/>
              </w:rPr>
            </w:pPr>
            <w:r w:rsidRPr="003D46FD">
              <w:rPr>
                <w:rFonts w:ascii="Arial" w:hAnsi="Arial" w:cs="Arial"/>
                <w:noProof/>
                <w:color w:val="003366"/>
                <w:sz w:val="22"/>
                <w:szCs w:val="22"/>
              </w:rPr>
              <w:drawing>
                <wp:inline distT="0" distB="0" distL="0" distR="0">
                  <wp:extent cx="114300" cy="114300"/>
                  <wp:effectExtent l="19050" t="0" r="0" b="0"/>
                  <wp:docPr id="28" name="Picture 28" descr="http://static.lobbytools.com/images/ico_dele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tatic.lobbytools.com/images/ico_delete.gif">
                            <a:hlinkClick r:id="rId37"/>
                          </pic:cNvPr>
                          <pic:cNvPicPr>
                            <a:picLocks noChangeAspect="1" noChangeArrowheads="1"/>
                          </pic:cNvPicPr>
                        </pic:nvPicPr>
                        <pic:blipFill>
                          <a:blip r:embed="rId11"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p>
        </w:tc>
      </w:tr>
      <w:tr w:rsidR="003D46FD">
        <w:trPr>
          <w:tblCellSpacing w:w="0" w:type="dxa"/>
          <w:jc w:val="center"/>
        </w:trPr>
        <w:tc>
          <w:tcPr>
            <w:tcW w:w="0" w:type="auto"/>
            <w:tcMar>
              <w:top w:w="20" w:type="dxa"/>
              <w:left w:w="20" w:type="dxa"/>
              <w:bottom w:w="20" w:type="dxa"/>
              <w:right w:w="20" w:type="dxa"/>
            </w:tcMar>
            <w:vAlign w:val="center"/>
            <w:hideMark/>
          </w:tcPr>
          <w:p w:rsidR="003D46FD" w:rsidRPr="003D46FD" w:rsidRDefault="003D46FD">
            <w:pPr>
              <w:rPr>
                <w:rFonts w:ascii="Arial" w:hAnsi="Arial" w:cs="Arial"/>
                <w:sz w:val="22"/>
                <w:szCs w:val="22"/>
              </w:rPr>
            </w:pPr>
          </w:p>
        </w:tc>
        <w:tc>
          <w:tcPr>
            <w:tcW w:w="0" w:type="auto"/>
            <w:gridSpan w:val="6"/>
            <w:tcMar>
              <w:top w:w="20" w:type="dxa"/>
              <w:left w:w="20" w:type="dxa"/>
              <w:bottom w:w="20" w:type="dxa"/>
              <w:right w:w="20" w:type="dxa"/>
            </w:tcMar>
            <w:vAlign w:val="center"/>
            <w:hideMark/>
          </w:tcPr>
          <w:p w:rsidR="003D46FD" w:rsidRPr="003D46FD" w:rsidRDefault="003D46FD">
            <w:pPr>
              <w:rPr>
                <w:rFonts w:ascii="Arial" w:hAnsi="Arial" w:cs="Arial"/>
                <w:sz w:val="22"/>
                <w:szCs w:val="22"/>
              </w:rPr>
            </w:pPr>
            <w:r w:rsidRPr="003D46FD">
              <w:rPr>
                <w:rFonts w:ascii="Arial" w:hAnsi="Arial" w:cs="Arial"/>
                <w:sz w:val="22"/>
                <w:szCs w:val="22"/>
              </w:rPr>
              <w:t>Interstate Insurance Product Regulation Compact; Providing for establishment of an Interstate Insurance Product Regulation Commission; specifying the commission as an instrumentality of the compacting states; designating the Commissioner of Insurance Regulation as the representative of this state on the commission; providing for qualified immunity, defense, and indemnification of members, officers, employees, and representatives of the commission; specifying that certain records, data, or information of the commission in possession of the Office of Insurance Regulation is subject to ch. 119, F.S., etc. Effective Date: October 1, 2013</w:t>
            </w:r>
          </w:p>
        </w:tc>
        <w:tc>
          <w:tcPr>
            <w:tcW w:w="0" w:type="auto"/>
            <w:vAlign w:val="center"/>
            <w:hideMark/>
          </w:tcPr>
          <w:p w:rsidR="003D46FD" w:rsidRPr="003D46FD" w:rsidRDefault="003D46FD">
            <w:pPr>
              <w:rPr>
                <w:sz w:val="22"/>
                <w:szCs w:val="22"/>
              </w:rPr>
            </w:pPr>
          </w:p>
        </w:tc>
      </w:tr>
      <w:tr w:rsidR="003D46FD">
        <w:trPr>
          <w:tblCellSpacing w:w="0" w:type="dxa"/>
          <w:jc w:val="center"/>
        </w:trPr>
        <w:tc>
          <w:tcPr>
            <w:tcW w:w="0" w:type="auto"/>
            <w:tcMar>
              <w:top w:w="20" w:type="dxa"/>
              <w:left w:w="20" w:type="dxa"/>
              <w:bottom w:w="20" w:type="dxa"/>
              <w:right w:w="20" w:type="dxa"/>
            </w:tcMar>
            <w:vAlign w:val="center"/>
            <w:hideMark/>
          </w:tcPr>
          <w:p w:rsidR="003D46FD" w:rsidRPr="003D46FD" w:rsidRDefault="003D46FD">
            <w:pPr>
              <w:rPr>
                <w:rFonts w:ascii="Arial" w:hAnsi="Arial" w:cs="Arial"/>
                <w:sz w:val="22"/>
                <w:szCs w:val="22"/>
              </w:rPr>
            </w:pPr>
          </w:p>
        </w:tc>
        <w:tc>
          <w:tcPr>
            <w:tcW w:w="0" w:type="auto"/>
            <w:gridSpan w:val="7"/>
            <w:tcMar>
              <w:top w:w="20" w:type="dxa"/>
              <w:left w:w="20" w:type="dxa"/>
              <w:bottom w:w="20" w:type="dxa"/>
              <w:right w:w="20" w:type="dxa"/>
            </w:tcMar>
            <w:vAlign w:val="center"/>
            <w:hideMark/>
          </w:tcPr>
          <w:tbl>
            <w:tblPr>
              <w:tblW w:w="0" w:type="auto"/>
              <w:tblCellSpacing w:w="0" w:type="dxa"/>
              <w:tblCellMar>
                <w:left w:w="0" w:type="dxa"/>
                <w:right w:w="0" w:type="dxa"/>
              </w:tblCellMar>
              <w:tblLook w:val="04A0"/>
            </w:tblPr>
            <w:tblGrid>
              <w:gridCol w:w="958"/>
              <w:gridCol w:w="1459"/>
            </w:tblGrid>
            <w:tr w:rsidR="003D46FD" w:rsidRPr="003D46FD">
              <w:trPr>
                <w:tblCellSpacing w:w="0" w:type="dxa"/>
              </w:trPr>
              <w:tc>
                <w:tcPr>
                  <w:tcW w:w="0" w:type="auto"/>
                  <w:tcMar>
                    <w:top w:w="20" w:type="dxa"/>
                    <w:left w:w="20" w:type="dxa"/>
                    <w:bottom w:w="20" w:type="dxa"/>
                    <w:right w:w="20" w:type="dxa"/>
                  </w:tcMar>
                  <w:hideMark/>
                </w:tcPr>
                <w:p w:rsidR="003D46FD" w:rsidRPr="003D46FD" w:rsidRDefault="003D46FD">
                  <w:pPr>
                    <w:rPr>
                      <w:rFonts w:ascii="Arial" w:hAnsi="Arial" w:cs="Arial"/>
                      <w:sz w:val="22"/>
                      <w:szCs w:val="22"/>
                    </w:rPr>
                  </w:pPr>
                  <w:r w:rsidRPr="003D46FD">
                    <w:rPr>
                      <w:rFonts w:ascii="Arial" w:hAnsi="Arial" w:cs="Arial"/>
                      <w:sz w:val="22"/>
                      <w:szCs w:val="22"/>
                    </w:rPr>
                    <w:t>01/10/13 </w:t>
                  </w:r>
                </w:p>
              </w:tc>
              <w:tc>
                <w:tcPr>
                  <w:tcW w:w="0" w:type="auto"/>
                  <w:tcMar>
                    <w:top w:w="20" w:type="dxa"/>
                    <w:left w:w="20" w:type="dxa"/>
                    <w:bottom w:w="20" w:type="dxa"/>
                    <w:right w:w="20" w:type="dxa"/>
                  </w:tcMar>
                  <w:vAlign w:val="center"/>
                  <w:hideMark/>
                </w:tcPr>
                <w:p w:rsidR="003D46FD" w:rsidRPr="003D46FD" w:rsidRDefault="003D46FD">
                  <w:pPr>
                    <w:rPr>
                      <w:rFonts w:ascii="Arial" w:hAnsi="Arial" w:cs="Arial"/>
                      <w:sz w:val="22"/>
                      <w:szCs w:val="22"/>
                    </w:rPr>
                  </w:pPr>
                  <w:r w:rsidRPr="003D46FD">
                    <w:rPr>
                      <w:rFonts w:ascii="Arial" w:hAnsi="Arial" w:cs="Arial"/>
                      <w:sz w:val="22"/>
                      <w:szCs w:val="22"/>
                    </w:rPr>
                    <w:t>SENATE Filed</w:t>
                  </w:r>
                </w:p>
              </w:tc>
            </w:tr>
          </w:tbl>
          <w:p w:rsidR="003D46FD" w:rsidRPr="003D46FD" w:rsidRDefault="003D46FD">
            <w:pPr>
              <w:rPr>
                <w:rFonts w:ascii="Arial" w:hAnsi="Arial" w:cs="Arial"/>
                <w:sz w:val="22"/>
                <w:szCs w:val="22"/>
              </w:rPr>
            </w:pPr>
          </w:p>
        </w:tc>
      </w:tr>
      <w:tr w:rsidR="003D46FD">
        <w:trPr>
          <w:tblCellSpacing w:w="0" w:type="dxa"/>
          <w:jc w:val="center"/>
        </w:trPr>
        <w:tc>
          <w:tcPr>
            <w:tcW w:w="0" w:type="auto"/>
            <w:tcBorders>
              <w:top w:val="single" w:sz="4" w:space="0" w:color="000000"/>
            </w:tcBorders>
            <w:shd w:val="clear" w:color="auto" w:fill="EEEEEE"/>
            <w:tcMar>
              <w:top w:w="20" w:type="dxa"/>
              <w:left w:w="20" w:type="dxa"/>
              <w:bottom w:w="20" w:type="dxa"/>
              <w:right w:w="20" w:type="dxa"/>
            </w:tcMar>
            <w:vAlign w:val="center"/>
            <w:hideMark/>
          </w:tcPr>
          <w:p w:rsidR="003D46FD" w:rsidRPr="003D46FD" w:rsidRDefault="003D46FD">
            <w:pPr>
              <w:rPr>
                <w:rFonts w:ascii="Arial" w:hAnsi="Arial" w:cs="Arial"/>
                <w:sz w:val="22"/>
                <w:szCs w:val="22"/>
              </w:rPr>
            </w:pPr>
            <w:r w:rsidRPr="00BA2D07">
              <w:rPr>
                <w:rFonts w:ascii="Arial" w:hAnsi="Arial" w:cs="Arial"/>
                <w:sz w:val="22"/>
                <w:szCs w:val="22"/>
              </w:rPr>
              <w:t>SB 0248</w:t>
            </w:r>
          </w:p>
        </w:tc>
        <w:tc>
          <w:tcPr>
            <w:tcW w:w="0" w:type="auto"/>
            <w:tcBorders>
              <w:top w:val="single" w:sz="4" w:space="0" w:color="000000"/>
            </w:tcBorders>
            <w:shd w:val="clear" w:color="auto" w:fill="EEEEEE"/>
            <w:tcMar>
              <w:top w:w="20" w:type="dxa"/>
              <w:left w:w="20" w:type="dxa"/>
              <w:bottom w:w="20" w:type="dxa"/>
              <w:right w:w="20" w:type="dxa"/>
            </w:tcMar>
            <w:vAlign w:val="center"/>
            <w:hideMark/>
          </w:tcPr>
          <w:p w:rsidR="003D46FD" w:rsidRPr="003D46FD" w:rsidRDefault="003D46FD">
            <w:pPr>
              <w:rPr>
                <w:rFonts w:ascii="Arial" w:hAnsi="Arial" w:cs="Arial"/>
                <w:b/>
                <w:bCs/>
                <w:sz w:val="22"/>
                <w:szCs w:val="22"/>
              </w:rPr>
            </w:pPr>
            <w:r w:rsidRPr="003D46FD">
              <w:rPr>
                <w:rFonts w:ascii="Arial" w:hAnsi="Arial" w:cs="Arial"/>
                <w:b/>
                <w:bCs/>
                <w:sz w:val="22"/>
                <w:szCs w:val="22"/>
              </w:rPr>
              <w:t>Relating to Treatment Programs for Impaired Licensees and Applicants</w:t>
            </w:r>
          </w:p>
        </w:tc>
        <w:tc>
          <w:tcPr>
            <w:tcW w:w="0" w:type="auto"/>
            <w:tcBorders>
              <w:top w:val="single" w:sz="4" w:space="0" w:color="000000"/>
            </w:tcBorders>
            <w:shd w:val="clear" w:color="auto" w:fill="EEEEEE"/>
            <w:tcMar>
              <w:top w:w="20" w:type="dxa"/>
              <w:left w:w="20" w:type="dxa"/>
              <w:bottom w:w="20" w:type="dxa"/>
              <w:right w:w="20" w:type="dxa"/>
            </w:tcMar>
            <w:vAlign w:val="center"/>
            <w:hideMark/>
          </w:tcPr>
          <w:p w:rsidR="003D46FD" w:rsidRPr="003D46FD" w:rsidRDefault="003D46FD">
            <w:pPr>
              <w:rPr>
                <w:rFonts w:ascii="Arial" w:hAnsi="Arial" w:cs="Arial"/>
                <w:sz w:val="22"/>
                <w:szCs w:val="22"/>
              </w:rPr>
            </w:pPr>
            <w:r w:rsidRPr="00BA2D07">
              <w:rPr>
                <w:rFonts w:ascii="Arial" w:hAnsi="Arial" w:cs="Arial"/>
                <w:sz w:val="22"/>
                <w:szCs w:val="22"/>
              </w:rPr>
              <w:t>Thrasher</w:t>
            </w:r>
            <w:r w:rsidRPr="003D46FD">
              <w:rPr>
                <w:rFonts w:ascii="Arial" w:hAnsi="Arial" w:cs="Arial"/>
                <w:sz w:val="22"/>
                <w:szCs w:val="22"/>
              </w:rPr>
              <w:t xml:space="preserve"> </w:t>
            </w:r>
          </w:p>
        </w:tc>
        <w:tc>
          <w:tcPr>
            <w:tcW w:w="0" w:type="auto"/>
            <w:tcBorders>
              <w:top w:val="single" w:sz="4" w:space="0" w:color="000000"/>
            </w:tcBorders>
            <w:shd w:val="clear" w:color="auto" w:fill="EEEEEE"/>
            <w:tcMar>
              <w:top w:w="20" w:type="dxa"/>
              <w:left w:w="20" w:type="dxa"/>
              <w:bottom w:w="20" w:type="dxa"/>
              <w:right w:w="20" w:type="dxa"/>
            </w:tcMar>
            <w:vAlign w:val="center"/>
            <w:hideMark/>
          </w:tcPr>
          <w:p w:rsidR="003D46FD" w:rsidRPr="003D46FD" w:rsidRDefault="003D46FD">
            <w:pPr>
              <w:rPr>
                <w:rFonts w:ascii="Arial" w:hAnsi="Arial" w:cs="Arial"/>
                <w:sz w:val="22"/>
                <w:szCs w:val="22"/>
              </w:rPr>
            </w:pPr>
            <w:r w:rsidRPr="003D46FD">
              <w:rPr>
                <w:rFonts w:ascii="Arial" w:hAnsi="Arial" w:cs="Arial"/>
                <w:sz w:val="22"/>
                <w:szCs w:val="22"/>
              </w:rPr>
              <w:t>01/10/13</w:t>
            </w:r>
          </w:p>
        </w:tc>
        <w:tc>
          <w:tcPr>
            <w:tcW w:w="0" w:type="auto"/>
            <w:tcBorders>
              <w:top w:val="single" w:sz="4" w:space="0" w:color="000000"/>
            </w:tcBorders>
            <w:shd w:val="clear" w:color="auto" w:fill="EEEEEE"/>
            <w:tcMar>
              <w:top w:w="20" w:type="dxa"/>
              <w:left w:w="20" w:type="dxa"/>
              <w:bottom w:w="20" w:type="dxa"/>
              <w:right w:w="20" w:type="dxa"/>
            </w:tcMar>
            <w:vAlign w:val="center"/>
            <w:hideMark/>
          </w:tcPr>
          <w:p w:rsidR="003D46FD" w:rsidRPr="003D46FD" w:rsidRDefault="00B65B83">
            <w:pPr>
              <w:rPr>
                <w:rFonts w:ascii="Arial" w:hAnsi="Arial" w:cs="Arial"/>
                <w:sz w:val="22"/>
                <w:szCs w:val="22"/>
              </w:rPr>
            </w:pPr>
            <w:r w:rsidRPr="00B65B83">
              <w:rPr>
                <w:rFonts w:ascii="Arial" w:hAnsi="Arial" w:cs="Arial"/>
              </w:rPr>
              <w:pict>
                <v:shape id="_x0000_i1040" type="#_x0000_t75" style="width:16.5pt;height:14pt">
                  <v:imagedata r:id="rId7" o:title=""/>
                </v:shape>
              </w:pict>
            </w:r>
          </w:p>
        </w:tc>
        <w:tc>
          <w:tcPr>
            <w:tcW w:w="0" w:type="auto"/>
            <w:tcBorders>
              <w:top w:val="single" w:sz="4" w:space="0" w:color="000000"/>
            </w:tcBorders>
            <w:shd w:val="clear" w:color="auto" w:fill="EEEEEE"/>
            <w:tcMar>
              <w:top w:w="20" w:type="dxa"/>
              <w:left w:w="20" w:type="dxa"/>
              <w:bottom w:w="20" w:type="dxa"/>
              <w:right w:w="20" w:type="dxa"/>
            </w:tcMar>
            <w:vAlign w:val="center"/>
            <w:hideMark/>
          </w:tcPr>
          <w:p w:rsidR="003D46FD" w:rsidRPr="003D46FD" w:rsidRDefault="003D46FD">
            <w:pPr>
              <w:rPr>
                <w:rFonts w:ascii="Arial" w:hAnsi="Arial" w:cs="Arial"/>
                <w:sz w:val="22"/>
                <w:szCs w:val="22"/>
              </w:rPr>
            </w:pPr>
            <w:r w:rsidRPr="003D46FD">
              <w:rPr>
                <w:rFonts w:ascii="Arial" w:hAnsi="Arial" w:cs="Arial"/>
                <w:sz w:val="22"/>
                <w:szCs w:val="22"/>
              </w:rPr>
              <w:t> </w:t>
            </w:r>
          </w:p>
        </w:tc>
        <w:tc>
          <w:tcPr>
            <w:tcW w:w="0" w:type="auto"/>
            <w:tcBorders>
              <w:top w:val="single" w:sz="4" w:space="0" w:color="000000"/>
            </w:tcBorders>
            <w:shd w:val="clear" w:color="auto" w:fill="EEEEEE"/>
            <w:tcMar>
              <w:top w:w="20" w:type="dxa"/>
              <w:left w:w="20" w:type="dxa"/>
              <w:bottom w:w="20" w:type="dxa"/>
              <w:right w:w="20" w:type="dxa"/>
            </w:tcMar>
            <w:vAlign w:val="center"/>
            <w:hideMark/>
          </w:tcPr>
          <w:p w:rsidR="003D46FD" w:rsidRPr="003D46FD" w:rsidRDefault="003D46FD">
            <w:pPr>
              <w:jc w:val="center"/>
              <w:rPr>
                <w:rFonts w:ascii="Arial" w:hAnsi="Arial" w:cs="Arial"/>
                <w:sz w:val="22"/>
                <w:szCs w:val="22"/>
              </w:rPr>
            </w:pPr>
            <w:r w:rsidRPr="003D46FD">
              <w:rPr>
                <w:rFonts w:ascii="Arial" w:hAnsi="Arial" w:cs="Arial"/>
                <w:noProof/>
                <w:color w:val="003366"/>
                <w:sz w:val="22"/>
                <w:szCs w:val="22"/>
              </w:rPr>
              <w:drawing>
                <wp:inline distT="0" distB="0" distL="0" distR="0">
                  <wp:extent cx="133350" cy="133350"/>
                  <wp:effectExtent l="19050" t="0" r="0" b="0"/>
                  <wp:docPr id="29" name="Picture 29" descr="ADD 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ADD NOTE">
                            <a:hlinkClick r:id="rId38"/>
                          </pic:cNvPr>
                          <pic:cNvPicPr>
                            <a:picLocks noChangeAspect="1" noChangeArrowheads="1"/>
                          </pic:cNvPicPr>
                        </pic:nvPicPr>
                        <pic:blipFill>
                          <a:blip r:embed="rId9"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p>
        </w:tc>
        <w:tc>
          <w:tcPr>
            <w:tcW w:w="0" w:type="auto"/>
            <w:tcBorders>
              <w:top w:val="single" w:sz="4" w:space="0" w:color="000000"/>
            </w:tcBorders>
            <w:shd w:val="clear" w:color="auto" w:fill="EEEEEE"/>
            <w:tcMar>
              <w:top w:w="20" w:type="dxa"/>
              <w:left w:w="20" w:type="dxa"/>
              <w:bottom w:w="20" w:type="dxa"/>
              <w:right w:w="20" w:type="dxa"/>
            </w:tcMar>
            <w:vAlign w:val="center"/>
            <w:hideMark/>
          </w:tcPr>
          <w:p w:rsidR="003D46FD" w:rsidRPr="003D46FD" w:rsidRDefault="003D46FD">
            <w:pPr>
              <w:jc w:val="center"/>
              <w:rPr>
                <w:rFonts w:ascii="Arial" w:hAnsi="Arial" w:cs="Arial"/>
                <w:sz w:val="22"/>
                <w:szCs w:val="22"/>
              </w:rPr>
            </w:pPr>
            <w:r w:rsidRPr="003D46FD">
              <w:rPr>
                <w:rFonts w:ascii="Arial" w:hAnsi="Arial" w:cs="Arial"/>
                <w:noProof/>
                <w:color w:val="003366"/>
                <w:sz w:val="22"/>
                <w:szCs w:val="22"/>
              </w:rPr>
              <w:drawing>
                <wp:inline distT="0" distB="0" distL="0" distR="0">
                  <wp:extent cx="114300" cy="114300"/>
                  <wp:effectExtent l="19050" t="0" r="0" b="0"/>
                  <wp:docPr id="30" name="Picture 30" descr="http://static.lobbytools.com/images/ico_dele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tatic.lobbytools.com/images/ico_delete.gif">
                            <a:hlinkClick r:id="rId39"/>
                          </pic:cNvPr>
                          <pic:cNvPicPr>
                            <a:picLocks noChangeAspect="1" noChangeArrowheads="1"/>
                          </pic:cNvPicPr>
                        </pic:nvPicPr>
                        <pic:blipFill>
                          <a:blip r:embed="rId11"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p>
        </w:tc>
      </w:tr>
      <w:tr w:rsidR="003D46FD">
        <w:trPr>
          <w:tblCellSpacing w:w="0" w:type="dxa"/>
          <w:jc w:val="center"/>
        </w:trPr>
        <w:tc>
          <w:tcPr>
            <w:tcW w:w="0" w:type="auto"/>
            <w:tcMar>
              <w:top w:w="20" w:type="dxa"/>
              <w:left w:w="20" w:type="dxa"/>
              <w:bottom w:w="20" w:type="dxa"/>
              <w:right w:w="20" w:type="dxa"/>
            </w:tcMar>
            <w:vAlign w:val="center"/>
            <w:hideMark/>
          </w:tcPr>
          <w:p w:rsidR="003D46FD" w:rsidRPr="003D46FD" w:rsidRDefault="003D46FD">
            <w:pPr>
              <w:rPr>
                <w:rFonts w:ascii="Arial" w:hAnsi="Arial" w:cs="Arial"/>
                <w:sz w:val="22"/>
                <w:szCs w:val="22"/>
              </w:rPr>
            </w:pPr>
          </w:p>
        </w:tc>
        <w:tc>
          <w:tcPr>
            <w:tcW w:w="0" w:type="auto"/>
            <w:gridSpan w:val="6"/>
            <w:tcMar>
              <w:top w:w="20" w:type="dxa"/>
              <w:left w:w="20" w:type="dxa"/>
              <w:bottom w:w="20" w:type="dxa"/>
              <w:right w:w="20" w:type="dxa"/>
            </w:tcMar>
            <w:vAlign w:val="center"/>
            <w:hideMark/>
          </w:tcPr>
          <w:p w:rsidR="003D46FD" w:rsidRPr="003D46FD" w:rsidRDefault="003D46FD">
            <w:pPr>
              <w:rPr>
                <w:rFonts w:ascii="Arial" w:hAnsi="Arial" w:cs="Arial"/>
                <w:sz w:val="22"/>
                <w:szCs w:val="22"/>
              </w:rPr>
            </w:pPr>
            <w:r w:rsidRPr="003D46FD">
              <w:rPr>
                <w:rFonts w:ascii="Arial" w:hAnsi="Arial" w:cs="Arial"/>
                <w:sz w:val="22"/>
                <w:szCs w:val="22"/>
              </w:rPr>
              <w:t xml:space="preserve">Treatment Programs for Impaired Licensees and Applicants; Authorizing the Department of Business and Professional Regulation to require a person licensed by or applying for a license from the department to comply with provisions governing treatment programs for impaired practitioners as if the licensee or applicant were under the jurisdiction of the Division of Medical Quality Assurance within the Department of Health; providing that the impaired practitioner consultant is the official custodian of records relating to the referral of the licensee or applicant to the consultant and any other interaction between them, etc. Effective Date: July 1, 2013 </w:t>
            </w:r>
          </w:p>
        </w:tc>
        <w:tc>
          <w:tcPr>
            <w:tcW w:w="0" w:type="auto"/>
            <w:vAlign w:val="center"/>
            <w:hideMark/>
          </w:tcPr>
          <w:p w:rsidR="003D46FD" w:rsidRPr="003D46FD" w:rsidRDefault="003D46FD">
            <w:pPr>
              <w:rPr>
                <w:sz w:val="22"/>
                <w:szCs w:val="22"/>
              </w:rPr>
            </w:pPr>
          </w:p>
        </w:tc>
      </w:tr>
      <w:tr w:rsidR="003D46FD">
        <w:trPr>
          <w:tblCellSpacing w:w="0" w:type="dxa"/>
          <w:jc w:val="center"/>
        </w:trPr>
        <w:tc>
          <w:tcPr>
            <w:tcW w:w="0" w:type="auto"/>
            <w:tcMar>
              <w:top w:w="20" w:type="dxa"/>
              <w:left w:w="20" w:type="dxa"/>
              <w:bottom w:w="20" w:type="dxa"/>
              <w:right w:w="20" w:type="dxa"/>
            </w:tcMar>
            <w:vAlign w:val="center"/>
            <w:hideMark/>
          </w:tcPr>
          <w:p w:rsidR="003D46FD" w:rsidRPr="003D46FD" w:rsidRDefault="003D46FD">
            <w:pPr>
              <w:rPr>
                <w:rFonts w:ascii="Arial" w:hAnsi="Arial" w:cs="Arial"/>
                <w:sz w:val="22"/>
                <w:szCs w:val="22"/>
              </w:rPr>
            </w:pPr>
          </w:p>
        </w:tc>
        <w:tc>
          <w:tcPr>
            <w:tcW w:w="0" w:type="auto"/>
            <w:gridSpan w:val="7"/>
            <w:tcMar>
              <w:top w:w="20" w:type="dxa"/>
              <w:left w:w="20" w:type="dxa"/>
              <w:bottom w:w="20" w:type="dxa"/>
              <w:right w:w="20" w:type="dxa"/>
            </w:tcMar>
            <w:vAlign w:val="center"/>
            <w:hideMark/>
          </w:tcPr>
          <w:tbl>
            <w:tblPr>
              <w:tblW w:w="0" w:type="auto"/>
              <w:tblCellSpacing w:w="0" w:type="dxa"/>
              <w:tblCellMar>
                <w:left w:w="0" w:type="dxa"/>
                <w:right w:w="0" w:type="dxa"/>
              </w:tblCellMar>
              <w:tblLook w:val="04A0"/>
            </w:tblPr>
            <w:tblGrid>
              <w:gridCol w:w="958"/>
              <w:gridCol w:w="1459"/>
            </w:tblGrid>
            <w:tr w:rsidR="003D46FD" w:rsidRPr="003D46FD">
              <w:trPr>
                <w:tblCellSpacing w:w="0" w:type="dxa"/>
              </w:trPr>
              <w:tc>
                <w:tcPr>
                  <w:tcW w:w="0" w:type="auto"/>
                  <w:tcMar>
                    <w:top w:w="20" w:type="dxa"/>
                    <w:left w:w="20" w:type="dxa"/>
                    <w:bottom w:w="20" w:type="dxa"/>
                    <w:right w:w="20" w:type="dxa"/>
                  </w:tcMar>
                  <w:hideMark/>
                </w:tcPr>
                <w:p w:rsidR="003D46FD" w:rsidRPr="003D46FD" w:rsidRDefault="003D46FD">
                  <w:pPr>
                    <w:rPr>
                      <w:rFonts w:ascii="Arial" w:hAnsi="Arial" w:cs="Arial"/>
                      <w:sz w:val="22"/>
                      <w:szCs w:val="22"/>
                    </w:rPr>
                  </w:pPr>
                  <w:r w:rsidRPr="003D46FD">
                    <w:rPr>
                      <w:rFonts w:ascii="Arial" w:hAnsi="Arial" w:cs="Arial"/>
                      <w:sz w:val="22"/>
                      <w:szCs w:val="22"/>
                    </w:rPr>
                    <w:t>01/10/13 </w:t>
                  </w:r>
                </w:p>
              </w:tc>
              <w:tc>
                <w:tcPr>
                  <w:tcW w:w="0" w:type="auto"/>
                  <w:tcMar>
                    <w:top w:w="20" w:type="dxa"/>
                    <w:left w:w="20" w:type="dxa"/>
                    <w:bottom w:w="20" w:type="dxa"/>
                    <w:right w:w="20" w:type="dxa"/>
                  </w:tcMar>
                  <w:vAlign w:val="center"/>
                  <w:hideMark/>
                </w:tcPr>
                <w:p w:rsidR="003D46FD" w:rsidRPr="003D46FD" w:rsidRDefault="003D46FD">
                  <w:pPr>
                    <w:rPr>
                      <w:rFonts w:ascii="Arial" w:hAnsi="Arial" w:cs="Arial"/>
                      <w:sz w:val="22"/>
                      <w:szCs w:val="22"/>
                    </w:rPr>
                  </w:pPr>
                  <w:r w:rsidRPr="003D46FD">
                    <w:rPr>
                      <w:rFonts w:ascii="Arial" w:hAnsi="Arial" w:cs="Arial"/>
                      <w:sz w:val="22"/>
                      <w:szCs w:val="22"/>
                    </w:rPr>
                    <w:t>SENATE Filed</w:t>
                  </w:r>
                </w:p>
              </w:tc>
            </w:tr>
          </w:tbl>
          <w:p w:rsidR="003D46FD" w:rsidRPr="003D46FD" w:rsidRDefault="003D46FD" w:rsidP="003D46FD">
            <w:pPr>
              <w:pStyle w:val="z-BottomofForm"/>
              <w:rPr>
                <w:sz w:val="22"/>
                <w:szCs w:val="22"/>
              </w:rPr>
            </w:pPr>
          </w:p>
        </w:tc>
      </w:tr>
    </w:tbl>
    <w:p w:rsidR="00944191" w:rsidRDefault="00944191" w:rsidP="002B78B0">
      <w:pPr>
        <w:pStyle w:val="BlockText"/>
      </w:pPr>
    </w:p>
    <w:p w:rsidR="00944191" w:rsidRDefault="00944191" w:rsidP="002B78B0">
      <w:pPr>
        <w:pStyle w:val="BlockText"/>
      </w:pPr>
    </w:p>
    <w:p w:rsidR="00156092" w:rsidRDefault="00156092" w:rsidP="002B78B0">
      <w:pPr>
        <w:pStyle w:val="BlockText"/>
      </w:pPr>
      <w:r>
        <w:t>Respectfully submitted,</w:t>
      </w:r>
    </w:p>
    <w:p w:rsidR="00E8267C" w:rsidRDefault="00E8267C" w:rsidP="002B78B0">
      <w:pPr>
        <w:pStyle w:val="BlockText"/>
      </w:pPr>
    </w:p>
    <w:p w:rsidR="00156092" w:rsidRDefault="00944191" w:rsidP="002B78B0">
      <w:pPr>
        <w:pStyle w:val="BlockText"/>
      </w:pPr>
      <w:r>
        <w:t>January 11</w:t>
      </w:r>
      <w:r w:rsidR="0029168D">
        <w:t>, 2</w:t>
      </w:r>
      <w:r>
        <w:t>013</w:t>
      </w:r>
      <w:r w:rsidR="00156092">
        <w:t>.</w:t>
      </w:r>
    </w:p>
    <w:p w:rsidR="009C6CE8" w:rsidRDefault="009C6CE8" w:rsidP="00922A6D">
      <w:pPr>
        <w:pStyle w:val="BlockText"/>
        <w:ind w:left="360"/>
      </w:pPr>
    </w:p>
    <w:sectPr w:rsidR="009C6CE8" w:rsidSect="009A10B6">
      <w:headerReference w:type="even" r:id="rId40"/>
      <w:headerReference w:type="default" r:id="rId41"/>
      <w:footerReference w:type="even" r:id="rId42"/>
      <w:footerReference w:type="default" r:id="rId43"/>
      <w:headerReference w:type="first" r:id="rId44"/>
      <w:footerReference w:type="first" r:id="rId45"/>
      <w:pgSz w:w="12240" w:h="15840"/>
      <w:pgMar w:top="1152" w:right="1440" w:bottom="1440" w:left="1152"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74AC" w:rsidRDefault="00D874AC" w:rsidP="009A2CBA">
      <w:r>
        <w:separator/>
      </w:r>
    </w:p>
  </w:endnote>
  <w:endnote w:type="continuationSeparator" w:id="0">
    <w:p w:rsidR="00D874AC" w:rsidRDefault="00D874AC" w:rsidP="009A2C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2D07" w:rsidRDefault="00BA2D0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1415" w:rsidRDefault="00201415" w:rsidP="000421B5">
    <w:pPr>
      <w:pStyle w:val="Footer"/>
    </w:pPr>
    <w:r>
      <w:tab/>
    </w:r>
    <w:fldSimple w:instr=" PAGE   \* MERGEFORMAT ">
      <w:r w:rsidR="002708C3">
        <w:rPr>
          <w:noProof/>
        </w:rPr>
        <w:t>2</w:t>
      </w:r>
    </w:fldSimple>
  </w:p>
  <w:p w:rsidR="00201415" w:rsidRPr="00911FE4" w:rsidRDefault="00BA2D07" w:rsidP="000421B5">
    <w:pPr>
      <w:pStyle w:val="Footer"/>
      <w:rPr>
        <w:rStyle w:val="DocID"/>
      </w:rPr>
    </w:pPr>
    <w:r w:rsidRPr="00BA2D07">
      <w:rPr>
        <w:rStyle w:val="DocID"/>
      </w:rPr>
      <w:t>#12024892_v1</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1415" w:rsidRPr="00911FE4" w:rsidRDefault="00B65B83" w:rsidP="000421B5">
    <w:pPr>
      <w:pStyle w:val="Footer"/>
      <w:rPr>
        <w:rStyle w:val="DocID"/>
      </w:rPr>
    </w:pPr>
    <w:r>
      <w:rPr>
        <w:sz w:val="20"/>
      </w:rPr>
      <w:fldChar w:fldCharType="begin"/>
    </w:r>
    <w:r w:rsidR="00201415">
      <w:rPr>
        <w:sz w:val="20"/>
      </w:rPr>
      <w:instrText xml:space="preserve"> If </w:instrText>
    </w:r>
    <w:r>
      <w:rPr>
        <w:sz w:val="20"/>
      </w:rPr>
      <w:fldChar w:fldCharType="begin"/>
    </w:r>
    <w:r w:rsidR="00201415">
      <w:rPr>
        <w:sz w:val="20"/>
      </w:rPr>
      <w:instrText xml:space="preserve"> numpages </w:instrText>
    </w:r>
    <w:r>
      <w:rPr>
        <w:sz w:val="20"/>
      </w:rPr>
      <w:fldChar w:fldCharType="separate"/>
    </w:r>
    <w:r w:rsidR="002708C3">
      <w:rPr>
        <w:noProof/>
        <w:sz w:val="20"/>
      </w:rPr>
      <w:instrText>1</w:instrText>
    </w:r>
    <w:r>
      <w:rPr>
        <w:sz w:val="20"/>
      </w:rPr>
      <w:fldChar w:fldCharType="end"/>
    </w:r>
    <w:r w:rsidR="00201415">
      <w:rPr>
        <w:sz w:val="20"/>
      </w:rPr>
      <w:instrText xml:space="preserve"> = 1 </w:instrText>
    </w:r>
    <w:r w:rsidR="00201415" w:rsidRPr="00944191">
      <w:rPr>
        <w:rStyle w:val="DocID"/>
      </w:rPr>
      <w:instrText>#9751992_v1</w:instrText>
    </w:r>
    <w:r w:rsidR="00201415">
      <w:instrText xml:space="preserve"> ""</w:instrText>
    </w:r>
    <w:r w:rsidR="00201415">
      <w:rPr>
        <w:sz w:val="20"/>
      </w:rPr>
      <w:instrText xml:space="preserve"> </w:instrText>
    </w:r>
    <w:r w:rsidR="002708C3">
      <w:rPr>
        <w:sz w:val="20"/>
      </w:rPr>
      <w:fldChar w:fldCharType="separate"/>
    </w:r>
    <w:r w:rsidR="002708C3" w:rsidRPr="00944191">
      <w:rPr>
        <w:rStyle w:val="DocID"/>
        <w:noProof/>
      </w:rPr>
      <w:t>#9751992_v1</w:t>
    </w:r>
    <w:r>
      <w:rPr>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74AC" w:rsidRDefault="00D874AC" w:rsidP="009A2CBA">
      <w:r>
        <w:separator/>
      </w:r>
    </w:p>
  </w:footnote>
  <w:footnote w:type="continuationSeparator" w:id="0">
    <w:p w:rsidR="00D874AC" w:rsidRDefault="00D874AC" w:rsidP="009A2CBA">
      <w:r>
        <w:continuationSeparator/>
      </w:r>
    </w:p>
  </w:footnote>
  <w:footnote w:id="1">
    <w:p w:rsidR="001043AB" w:rsidRDefault="001043AB">
      <w:pPr>
        <w:pStyle w:val="FootnoteText"/>
      </w:pPr>
      <w:r>
        <w:rPr>
          <w:rStyle w:val="FootnoteReference"/>
        </w:rPr>
        <w:footnoteRef/>
      </w:r>
      <w:r>
        <w:t xml:space="preserve"> There is an argument that these changes never became effective due to a subsequent legislative enactment (bill) that did not incorporate this change to the definition of "contactor."</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2D07" w:rsidRDefault="00BA2D0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2D07" w:rsidRDefault="00BA2D0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2D07" w:rsidRDefault="00BA2D0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5C825458"/>
    <w:lvl w:ilvl="0">
      <w:start w:val="1"/>
      <w:numFmt w:val="decimal"/>
      <w:pStyle w:val="ListNumber2"/>
      <w:lvlText w:val="%1."/>
      <w:lvlJc w:val="left"/>
      <w:pPr>
        <w:tabs>
          <w:tab w:val="num" w:pos="1080"/>
        </w:tabs>
        <w:ind w:left="0" w:firstLine="720"/>
      </w:pPr>
      <w:rPr>
        <w:rFonts w:hint="default"/>
      </w:rPr>
    </w:lvl>
  </w:abstractNum>
  <w:abstractNum w:abstractNumId="1">
    <w:nsid w:val="FFFFFF83"/>
    <w:multiLevelType w:val="singleLevel"/>
    <w:tmpl w:val="C078518A"/>
    <w:lvl w:ilvl="0">
      <w:start w:val="1"/>
      <w:numFmt w:val="bullet"/>
      <w:pStyle w:val="ListBullet2"/>
      <w:lvlText w:val=""/>
      <w:lvlJc w:val="left"/>
      <w:pPr>
        <w:tabs>
          <w:tab w:val="num" w:pos="720"/>
        </w:tabs>
        <w:ind w:left="720" w:hanging="360"/>
      </w:pPr>
      <w:rPr>
        <w:rFonts w:ascii="Symbol" w:hAnsi="Symbol" w:hint="default"/>
      </w:rPr>
    </w:lvl>
  </w:abstractNum>
  <w:abstractNum w:abstractNumId="2">
    <w:nsid w:val="FFFFFF88"/>
    <w:multiLevelType w:val="singleLevel"/>
    <w:tmpl w:val="C9404A92"/>
    <w:lvl w:ilvl="0">
      <w:start w:val="1"/>
      <w:numFmt w:val="decimal"/>
      <w:pStyle w:val="ListNumber"/>
      <w:lvlText w:val="%1."/>
      <w:lvlJc w:val="left"/>
      <w:pPr>
        <w:tabs>
          <w:tab w:val="num" w:pos="1080"/>
        </w:tabs>
        <w:ind w:left="0" w:firstLine="720"/>
      </w:pPr>
      <w:rPr>
        <w:rFonts w:hint="default"/>
      </w:rPr>
    </w:lvl>
  </w:abstractNum>
  <w:abstractNum w:abstractNumId="3">
    <w:nsid w:val="FFFFFF89"/>
    <w:multiLevelType w:val="singleLevel"/>
    <w:tmpl w:val="41247350"/>
    <w:lvl w:ilvl="0">
      <w:start w:val="1"/>
      <w:numFmt w:val="bullet"/>
      <w:pStyle w:val="ListBullet"/>
      <w:lvlText w:val=""/>
      <w:lvlJc w:val="left"/>
      <w:pPr>
        <w:tabs>
          <w:tab w:val="num" w:pos="360"/>
        </w:tabs>
        <w:ind w:left="360" w:hanging="360"/>
      </w:pPr>
      <w:rPr>
        <w:rFonts w:ascii="Symbol" w:hAnsi="Symbol" w:hint="default"/>
      </w:rPr>
    </w:lvl>
  </w:abstractNum>
  <w:abstractNum w:abstractNumId="4">
    <w:nsid w:val="01FF307D"/>
    <w:multiLevelType w:val="hybridMultilevel"/>
    <w:tmpl w:val="263641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418433A"/>
    <w:multiLevelType w:val="hybridMultilevel"/>
    <w:tmpl w:val="68A87FEE"/>
    <w:lvl w:ilvl="0" w:tplc="AA0C1DB8">
      <w:start w:val="1"/>
      <w:numFmt w:val="upperLetter"/>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464280F"/>
    <w:multiLevelType w:val="hybridMultilevel"/>
    <w:tmpl w:val="EDC05CD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7492F84"/>
    <w:multiLevelType w:val="hybridMultilevel"/>
    <w:tmpl w:val="0F661838"/>
    <w:lvl w:ilvl="0" w:tplc="8C4829F0">
      <w:start w:val="1"/>
      <w:numFmt w:val="upperLetter"/>
      <w:lvlText w:val="%1."/>
      <w:lvlJc w:val="left"/>
      <w:pPr>
        <w:ind w:left="720" w:hanging="360"/>
      </w:pPr>
      <w:rPr>
        <w:rFonts w:ascii="Times New Roman" w:eastAsiaTheme="minorEastAsia" w:hAnsi="Times New Roman" w:cstheme="minorBidi"/>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7587DF6"/>
    <w:multiLevelType w:val="hybridMultilevel"/>
    <w:tmpl w:val="EB049B4A"/>
    <w:lvl w:ilvl="0" w:tplc="47C8494A">
      <w:start w:val="1"/>
      <w:numFmt w:val="upperLetter"/>
      <w:lvlText w:val="%1."/>
      <w:lvlJc w:val="left"/>
      <w:pPr>
        <w:tabs>
          <w:tab w:val="num" w:pos="1080"/>
        </w:tabs>
        <w:ind w:left="0" w:firstLine="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BAE3699"/>
    <w:multiLevelType w:val="hybridMultilevel"/>
    <w:tmpl w:val="3F589A60"/>
    <w:lvl w:ilvl="0" w:tplc="D966982C">
      <w:start w:val="1"/>
      <w:numFmt w:val="decimal"/>
      <w:lvlText w:val="%1."/>
      <w:lvlJc w:val="left"/>
      <w:pPr>
        <w:tabs>
          <w:tab w:val="num" w:pos="720"/>
        </w:tabs>
        <w:ind w:left="720" w:hanging="720"/>
      </w:pPr>
      <w:rPr>
        <w:rFonts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0C334021"/>
    <w:multiLevelType w:val="hybridMultilevel"/>
    <w:tmpl w:val="A62C8AA6"/>
    <w:lvl w:ilvl="0" w:tplc="AAE23B4E">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E963C8E"/>
    <w:multiLevelType w:val="hybridMultilevel"/>
    <w:tmpl w:val="02A84288"/>
    <w:lvl w:ilvl="0" w:tplc="C42EA7F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EC84AA5"/>
    <w:multiLevelType w:val="hybridMultilevel"/>
    <w:tmpl w:val="DB4C8B38"/>
    <w:lvl w:ilvl="0" w:tplc="0409000F">
      <w:start w:val="2"/>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2DA5F02"/>
    <w:multiLevelType w:val="hybridMultilevel"/>
    <w:tmpl w:val="E334E276"/>
    <w:lvl w:ilvl="0" w:tplc="8AA67228">
      <w:start w:val="1"/>
      <w:numFmt w:val="decimal"/>
      <w:pStyle w:val="ListNumberB"/>
      <w:lvlText w:val="%1."/>
      <w:lvlJc w:val="left"/>
      <w:pPr>
        <w:tabs>
          <w:tab w:val="num" w:pos="1080"/>
        </w:tabs>
        <w:ind w:left="0" w:firstLine="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C4D7AA1"/>
    <w:multiLevelType w:val="hybridMultilevel"/>
    <w:tmpl w:val="92A67F70"/>
    <w:lvl w:ilvl="0" w:tplc="7DB6166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nsid w:val="202D11F4"/>
    <w:multiLevelType w:val="hybridMultilevel"/>
    <w:tmpl w:val="503A2838"/>
    <w:lvl w:ilvl="0" w:tplc="2BB08D2C">
      <w:start w:val="7"/>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nsid w:val="20B90BCA"/>
    <w:multiLevelType w:val="hybridMultilevel"/>
    <w:tmpl w:val="89CE1388"/>
    <w:lvl w:ilvl="0" w:tplc="8154DF34">
      <w:start w:val="1"/>
      <w:numFmt w:val="decimal"/>
      <w:pStyle w:val="List"/>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12D7559"/>
    <w:multiLevelType w:val="hybridMultilevel"/>
    <w:tmpl w:val="7504836A"/>
    <w:lvl w:ilvl="0" w:tplc="203046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23E23D22"/>
    <w:multiLevelType w:val="hybridMultilevel"/>
    <w:tmpl w:val="6EEE14EE"/>
    <w:lvl w:ilvl="0" w:tplc="E81E7D82">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251D7BC2"/>
    <w:multiLevelType w:val="hybridMultilevel"/>
    <w:tmpl w:val="1E6EC06E"/>
    <w:lvl w:ilvl="0" w:tplc="1C621A80">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65B3B5F"/>
    <w:multiLevelType w:val="hybridMultilevel"/>
    <w:tmpl w:val="9948D060"/>
    <w:lvl w:ilvl="0" w:tplc="954E7D34">
      <w:start w:val="24"/>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nsid w:val="350E0A57"/>
    <w:multiLevelType w:val="hybridMultilevel"/>
    <w:tmpl w:val="4BA6A7DE"/>
    <w:lvl w:ilvl="0" w:tplc="7E4CA22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71380066">
      <w:start w:val="1"/>
      <w:numFmt w:val="decimal"/>
      <w:lvlText w:val="%4."/>
      <w:lvlJc w:val="left"/>
      <w:pPr>
        <w:ind w:left="3240" w:hanging="360"/>
      </w:pPr>
      <w:rPr>
        <w:rFonts w:ascii="Times New Roman" w:eastAsiaTheme="minorEastAsia" w:hAnsi="Times New Roman" w:cstheme="minorBidi"/>
      </w:rPr>
    </w:lvl>
    <w:lvl w:ilvl="4" w:tplc="32263AEA">
      <w:start w:val="1"/>
      <w:numFmt w:val="upperLetter"/>
      <w:lvlText w:val="%5."/>
      <w:lvlJc w:val="left"/>
      <w:pPr>
        <w:ind w:left="3960" w:hanging="360"/>
      </w:pPr>
      <w:rPr>
        <w:rFonts w:hint="default"/>
      </w:rPr>
    </w:lvl>
    <w:lvl w:ilvl="5" w:tplc="87729F82">
      <w:start w:val="1"/>
      <w:numFmt w:val="decimal"/>
      <w:lvlText w:val="%6"/>
      <w:lvlJc w:val="left"/>
      <w:pPr>
        <w:ind w:left="4860" w:hanging="360"/>
      </w:pPr>
      <w:rPr>
        <w:rFonts w:hint="default"/>
        <w:u w:val="single"/>
      </w:r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6535926"/>
    <w:multiLevelType w:val="hybridMultilevel"/>
    <w:tmpl w:val="570E0CC0"/>
    <w:lvl w:ilvl="0" w:tplc="81E0116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E3B317B"/>
    <w:multiLevelType w:val="hybridMultilevel"/>
    <w:tmpl w:val="BEF40A0E"/>
    <w:lvl w:ilvl="0" w:tplc="D880358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FFE3036"/>
    <w:multiLevelType w:val="hybridMultilevel"/>
    <w:tmpl w:val="62AA8572"/>
    <w:lvl w:ilvl="0" w:tplc="5CE0943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49230C63"/>
    <w:multiLevelType w:val="hybridMultilevel"/>
    <w:tmpl w:val="0D9A195A"/>
    <w:lvl w:ilvl="0" w:tplc="986AA9FE">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49EA6B15"/>
    <w:multiLevelType w:val="hybridMultilevel"/>
    <w:tmpl w:val="BE764DC2"/>
    <w:lvl w:ilvl="0" w:tplc="B2AE5720">
      <w:start w:val="6"/>
      <w:numFmt w:val="lowerRoman"/>
      <w:lvlText w:val="%1."/>
      <w:lvlJc w:val="left"/>
      <w:pPr>
        <w:ind w:left="2880" w:hanging="72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7">
    <w:nsid w:val="4AF019E6"/>
    <w:multiLevelType w:val="hybridMultilevel"/>
    <w:tmpl w:val="6BD4438E"/>
    <w:lvl w:ilvl="0" w:tplc="E0968CD0">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nsid w:val="4E7348A4"/>
    <w:multiLevelType w:val="hybridMultilevel"/>
    <w:tmpl w:val="40CE732A"/>
    <w:lvl w:ilvl="0" w:tplc="E5D4B862">
      <w:start w:val="1"/>
      <w:numFmt w:val="lowerLetter"/>
      <w:lvlText w:val="%1."/>
      <w:lvlJc w:val="left"/>
      <w:pPr>
        <w:tabs>
          <w:tab w:val="num" w:pos="1080"/>
        </w:tabs>
        <w:ind w:left="0" w:firstLine="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09520BB"/>
    <w:multiLevelType w:val="hybridMultilevel"/>
    <w:tmpl w:val="F3CEDAF6"/>
    <w:lvl w:ilvl="0" w:tplc="C5A49FB8">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A890759"/>
    <w:multiLevelType w:val="hybridMultilevel"/>
    <w:tmpl w:val="11E0FCB4"/>
    <w:lvl w:ilvl="0" w:tplc="6EA29A4E">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B6A3298"/>
    <w:multiLevelType w:val="hybridMultilevel"/>
    <w:tmpl w:val="6B561D76"/>
    <w:lvl w:ilvl="0" w:tplc="8C16D2CE">
      <w:start w:val="1"/>
      <w:numFmt w:val="upperLetter"/>
      <w:pStyle w:val="ListALPHAB"/>
      <w:lvlText w:val="%1."/>
      <w:lvlJc w:val="left"/>
      <w:pPr>
        <w:tabs>
          <w:tab w:val="num" w:pos="1080"/>
        </w:tabs>
        <w:ind w:left="0" w:firstLine="72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C47503B"/>
    <w:multiLevelType w:val="hybridMultilevel"/>
    <w:tmpl w:val="7A487CFA"/>
    <w:lvl w:ilvl="0" w:tplc="4E464F58">
      <w:start w:val="1"/>
      <w:numFmt w:val="decimal"/>
      <w:lvlText w:val="%1."/>
      <w:lvlJc w:val="left"/>
      <w:pPr>
        <w:tabs>
          <w:tab w:val="num" w:pos="1080"/>
        </w:tabs>
        <w:ind w:left="0" w:firstLine="720"/>
      </w:pPr>
      <w:rPr>
        <w:rFonts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0490E0F"/>
    <w:multiLevelType w:val="hybridMultilevel"/>
    <w:tmpl w:val="3118E95A"/>
    <w:lvl w:ilvl="0" w:tplc="34305E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1B05D0D"/>
    <w:multiLevelType w:val="hybridMultilevel"/>
    <w:tmpl w:val="6EC4E8C8"/>
    <w:lvl w:ilvl="0" w:tplc="4386FB8A">
      <w:start w:val="1"/>
      <w:numFmt w:val="decimal"/>
      <w:lvlRestart w:val="0"/>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1B948A0"/>
    <w:multiLevelType w:val="hybridMultilevel"/>
    <w:tmpl w:val="242E6008"/>
    <w:lvl w:ilvl="0" w:tplc="FA343D6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651353AC"/>
    <w:multiLevelType w:val="hybridMultilevel"/>
    <w:tmpl w:val="BCF6B1F0"/>
    <w:lvl w:ilvl="0" w:tplc="168C59FE">
      <w:start w:val="1"/>
      <w:numFmt w:val="lowerLetter"/>
      <w:lvlText w:val="%1."/>
      <w:lvlJc w:val="left"/>
      <w:pPr>
        <w:tabs>
          <w:tab w:val="num" w:pos="1080"/>
        </w:tabs>
        <w:ind w:left="0" w:firstLine="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69C4856"/>
    <w:multiLevelType w:val="hybridMultilevel"/>
    <w:tmpl w:val="7F6CBF66"/>
    <w:lvl w:ilvl="0" w:tplc="46A69FFE">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BF60B97"/>
    <w:multiLevelType w:val="hybridMultilevel"/>
    <w:tmpl w:val="6B503E2A"/>
    <w:lvl w:ilvl="0" w:tplc="9D60DF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72002FF9"/>
    <w:multiLevelType w:val="hybridMultilevel"/>
    <w:tmpl w:val="32F423A0"/>
    <w:lvl w:ilvl="0" w:tplc="1AA2FA5A">
      <w:start w:val="1"/>
      <w:numFmt w:val="lowerLetter"/>
      <w:pStyle w:val="ListalphaB0"/>
      <w:lvlText w:val="%1."/>
      <w:lvlJc w:val="left"/>
      <w:pPr>
        <w:tabs>
          <w:tab w:val="num" w:pos="1080"/>
        </w:tabs>
        <w:ind w:left="0" w:firstLine="72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72E92B24"/>
    <w:multiLevelType w:val="hybridMultilevel"/>
    <w:tmpl w:val="FB826694"/>
    <w:lvl w:ilvl="0" w:tplc="316095D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nsid w:val="77C17189"/>
    <w:multiLevelType w:val="hybridMultilevel"/>
    <w:tmpl w:val="19D0C8C2"/>
    <w:lvl w:ilvl="0" w:tplc="ACB645AA">
      <w:start w:val="1"/>
      <w:numFmt w:val="decimal"/>
      <w:lvlText w:val="%1."/>
      <w:lvlJc w:val="left"/>
      <w:pPr>
        <w:tabs>
          <w:tab w:val="num" w:pos="1080"/>
        </w:tabs>
        <w:ind w:left="0" w:firstLine="720"/>
      </w:pPr>
      <w:rPr>
        <w:rFonts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DD94D11"/>
    <w:multiLevelType w:val="hybridMultilevel"/>
    <w:tmpl w:val="2C10A7C6"/>
    <w:lvl w:ilvl="0" w:tplc="8CCCF6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7DE50282"/>
    <w:multiLevelType w:val="hybridMultilevel"/>
    <w:tmpl w:val="94E0E7DC"/>
    <w:lvl w:ilvl="0" w:tplc="844E2756">
      <w:start w:val="1"/>
      <w:numFmt w:val="decimal"/>
      <w:lvlText w:val="%1."/>
      <w:lvlJc w:val="left"/>
      <w:pPr>
        <w:tabs>
          <w:tab w:val="num" w:pos="1080"/>
        </w:tabs>
        <w:ind w:left="0" w:firstLine="720"/>
      </w:pPr>
      <w:rPr>
        <w:rFonts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7E141586"/>
    <w:multiLevelType w:val="hybridMultilevel"/>
    <w:tmpl w:val="3F6EB712"/>
    <w:lvl w:ilvl="0" w:tplc="74AE98BE">
      <w:start w:val="1"/>
      <w:numFmt w:val="lowerLetter"/>
      <w:pStyle w:val="Listalpha"/>
      <w:lvlText w:val="%1."/>
      <w:lvlJc w:val="left"/>
      <w:pPr>
        <w:tabs>
          <w:tab w:val="num" w:pos="1080"/>
        </w:tabs>
        <w:ind w:left="0" w:firstLine="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7F6D47AF"/>
    <w:multiLevelType w:val="hybridMultilevel"/>
    <w:tmpl w:val="E51E6F10"/>
    <w:lvl w:ilvl="0" w:tplc="D83C1BDA">
      <w:start w:val="1"/>
      <w:numFmt w:val="decimal"/>
      <w:lvlText w:val="%1."/>
      <w:lvlJc w:val="left"/>
      <w:pPr>
        <w:tabs>
          <w:tab w:val="num" w:pos="1080"/>
        </w:tabs>
        <w:ind w:left="0" w:firstLine="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F7C7F6B"/>
    <w:multiLevelType w:val="hybridMultilevel"/>
    <w:tmpl w:val="2ACE9752"/>
    <w:lvl w:ilvl="0" w:tplc="3788DEFC">
      <w:start w:val="1"/>
      <w:numFmt w:val="upperLetter"/>
      <w:pStyle w:val="ListALPHA0"/>
      <w:lvlText w:val="%1."/>
      <w:lvlJc w:val="left"/>
      <w:pPr>
        <w:tabs>
          <w:tab w:val="num" w:pos="1080"/>
        </w:tabs>
        <w:ind w:left="0" w:firstLine="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34"/>
  </w:num>
  <w:num w:numId="3">
    <w:abstractNumId w:val="0"/>
  </w:num>
  <w:num w:numId="4">
    <w:abstractNumId w:val="10"/>
  </w:num>
  <w:num w:numId="5">
    <w:abstractNumId w:val="37"/>
  </w:num>
  <w:num w:numId="6">
    <w:abstractNumId w:val="30"/>
  </w:num>
  <w:num w:numId="7">
    <w:abstractNumId w:val="28"/>
  </w:num>
  <w:num w:numId="8">
    <w:abstractNumId w:val="45"/>
  </w:num>
  <w:num w:numId="9">
    <w:abstractNumId w:val="29"/>
  </w:num>
  <w:num w:numId="10">
    <w:abstractNumId w:val="6"/>
  </w:num>
  <w:num w:numId="11">
    <w:abstractNumId w:val="5"/>
  </w:num>
  <w:num w:numId="12">
    <w:abstractNumId w:val="8"/>
  </w:num>
  <w:num w:numId="13">
    <w:abstractNumId w:val="19"/>
  </w:num>
  <w:num w:numId="14">
    <w:abstractNumId w:val="36"/>
  </w:num>
  <w:num w:numId="15">
    <w:abstractNumId w:val="41"/>
  </w:num>
  <w:num w:numId="16">
    <w:abstractNumId w:val="43"/>
  </w:num>
  <w:num w:numId="17">
    <w:abstractNumId w:val="32"/>
  </w:num>
  <w:num w:numId="18">
    <w:abstractNumId w:val="9"/>
  </w:num>
  <w:num w:numId="19">
    <w:abstractNumId w:val="39"/>
  </w:num>
  <w:num w:numId="20">
    <w:abstractNumId w:val="44"/>
  </w:num>
  <w:num w:numId="21">
    <w:abstractNumId w:val="31"/>
  </w:num>
  <w:num w:numId="22">
    <w:abstractNumId w:val="46"/>
  </w:num>
  <w:num w:numId="23">
    <w:abstractNumId w:val="13"/>
  </w:num>
  <w:num w:numId="24">
    <w:abstractNumId w:val="11"/>
  </w:num>
  <w:num w:numId="25">
    <w:abstractNumId w:val="16"/>
  </w:num>
  <w:num w:numId="26">
    <w:abstractNumId w:val="3"/>
  </w:num>
  <w:num w:numId="27">
    <w:abstractNumId w:val="1"/>
  </w:num>
  <w:num w:numId="28">
    <w:abstractNumId w:val="22"/>
  </w:num>
  <w:num w:numId="29">
    <w:abstractNumId w:val="23"/>
  </w:num>
  <w:num w:numId="30">
    <w:abstractNumId w:val="7"/>
  </w:num>
  <w:num w:numId="31">
    <w:abstractNumId w:val="18"/>
  </w:num>
  <w:num w:numId="32">
    <w:abstractNumId w:val="21"/>
  </w:num>
  <w:num w:numId="33">
    <w:abstractNumId w:val="27"/>
  </w:num>
  <w:num w:numId="34">
    <w:abstractNumId w:val="17"/>
  </w:num>
  <w:num w:numId="35">
    <w:abstractNumId w:val="25"/>
  </w:num>
  <w:num w:numId="36">
    <w:abstractNumId w:val="24"/>
  </w:num>
  <w:num w:numId="37">
    <w:abstractNumId w:val="38"/>
  </w:num>
  <w:num w:numId="38">
    <w:abstractNumId w:val="42"/>
  </w:num>
  <w:num w:numId="39">
    <w:abstractNumId w:val="40"/>
  </w:num>
  <w:num w:numId="40">
    <w:abstractNumId w:val="35"/>
  </w:num>
  <w:num w:numId="41">
    <w:abstractNumId w:val="33"/>
  </w:num>
  <w:num w:numId="42">
    <w:abstractNumId w:val="14"/>
  </w:num>
  <w:num w:numId="43">
    <w:abstractNumId w:val="26"/>
  </w:num>
  <w:num w:numId="44">
    <w:abstractNumId w:val="20"/>
  </w:num>
  <w:num w:numId="45">
    <w:abstractNumId w:val="15"/>
  </w:num>
  <w:num w:numId="46">
    <w:abstractNumId w:val="4"/>
  </w:num>
  <w:num w:numId="4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stylePaneFormatFilter w:val="1021"/>
  <w:stylePaneSortMethod w:val="0000"/>
  <w:defaultTabStop w:val="720"/>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rsids>
    <w:rsidRoot w:val="00D8155F"/>
    <w:rsid w:val="00011776"/>
    <w:rsid w:val="00013164"/>
    <w:rsid w:val="00016A29"/>
    <w:rsid w:val="00026C6B"/>
    <w:rsid w:val="00027FC3"/>
    <w:rsid w:val="000302BC"/>
    <w:rsid w:val="000324B5"/>
    <w:rsid w:val="000341ED"/>
    <w:rsid w:val="000421B5"/>
    <w:rsid w:val="0005012E"/>
    <w:rsid w:val="000509E7"/>
    <w:rsid w:val="00054D0D"/>
    <w:rsid w:val="0005515D"/>
    <w:rsid w:val="00055700"/>
    <w:rsid w:val="00074EDF"/>
    <w:rsid w:val="00084298"/>
    <w:rsid w:val="0008778B"/>
    <w:rsid w:val="000A3246"/>
    <w:rsid w:val="000A4BA4"/>
    <w:rsid w:val="000B0E17"/>
    <w:rsid w:val="000B1DDB"/>
    <w:rsid w:val="000B76DD"/>
    <w:rsid w:val="000D2555"/>
    <w:rsid w:val="000E17E8"/>
    <w:rsid w:val="000E6D1A"/>
    <w:rsid w:val="000F6911"/>
    <w:rsid w:val="00100E22"/>
    <w:rsid w:val="00103CDF"/>
    <w:rsid w:val="001043AB"/>
    <w:rsid w:val="00107362"/>
    <w:rsid w:val="00110D3B"/>
    <w:rsid w:val="001114F7"/>
    <w:rsid w:val="001148B5"/>
    <w:rsid w:val="001156AF"/>
    <w:rsid w:val="00117224"/>
    <w:rsid w:val="00117544"/>
    <w:rsid w:val="00126ABD"/>
    <w:rsid w:val="0013367A"/>
    <w:rsid w:val="00135B1C"/>
    <w:rsid w:val="00146E4E"/>
    <w:rsid w:val="001476D7"/>
    <w:rsid w:val="00151720"/>
    <w:rsid w:val="00151F43"/>
    <w:rsid w:val="00156092"/>
    <w:rsid w:val="001572A8"/>
    <w:rsid w:val="00172C04"/>
    <w:rsid w:val="00175923"/>
    <w:rsid w:val="0019065B"/>
    <w:rsid w:val="001963BC"/>
    <w:rsid w:val="001B11FD"/>
    <w:rsid w:val="001B5A99"/>
    <w:rsid w:val="001B6195"/>
    <w:rsid w:val="001B70AF"/>
    <w:rsid w:val="001B73F6"/>
    <w:rsid w:val="001D1B70"/>
    <w:rsid w:val="001D25D1"/>
    <w:rsid w:val="001D3181"/>
    <w:rsid w:val="001D419D"/>
    <w:rsid w:val="001D50A8"/>
    <w:rsid w:val="001E327E"/>
    <w:rsid w:val="001F01B4"/>
    <w:rsid w:val="001F18CD"/>
    <w:rsid w:val="001F7DB9"/>
    <w:rsid w:val="00200951"/>
    <w:rsid w:val="00201415"/>
    <w:rsid w:val="00210263"/>
    <w:rsid w:val="00221926"/>
    <w:rsid w:val="00221AAE"/>
    <w:rsid w:val="00222C12"/>
    <w:rsid w:val="002236E8"/>
    <w:rsid w:val="0022445A"/>
    <w:rsid w:val="00227443"/>
    <w:rsid w:val="002348A5"/>
    <w:rsid w:val="002363CA"/>
    <w:rsid w:val="00236AB0"/>
    <w:rsid w:val="00237AEC"/>
    <w:rsid w:val="00243FF8"/>
    <w:rsid w:val="00246D22"/>
    <w:rsid w:val="00251EB1"/>
    <w:rsid w:val="00252DC4"/>
    <w:rsid w:val="00262A25"/>
    <w:rsid w:val="002630F7"/>
    <w:rsid w:val="002708C3"/>
    <w:rsid w:val="00274276"/>
    <w:rsid w:val="002857BE"/>
    <w:rsid w:val="00286558"/>
    <w:rsid w:val="00290B6F"/>
    <w:rsid w:val="0029168D"/>
    <w:rsid w:val="00294F80"/>
    <w:rsid w:val="002A4DD8"/>
    <w:rsid w:val="002B0DFC"/>
    <w:rsid w:val="002B3E98"/>
    <w:rsid w:val="002B78B0"/>
    <w:rsid w:val="002C378F"/>
    <w:rsid w:val="002C5E1D"/>
    <w:rsid w:val="002D1599"/>
    <w:rsid w:val="002D4362"/>
    <w:rsid w:val="002E2A6D"/>
    <w:rsid w:val="002E4651"/>
    <w:rsid w:val="002F015B"/>
    <w:rsid w:val="002F16B3"/>
    <w:rsid w:val="00305D83"/>
    <w:rsid w:val="00305FDE"/>
    <w:rsid w:val="00311BC1"/>
    <w:rsid w:val="003134D3"/>
    <w:rsid w:val="0031487D"/>
    <w:rsid w:val="003239B0"/>
    <w:rsid w:val="0032598E"/>
    <w:rsid w:val="003319A7"/>
    <w:rsid w:val="003376F7"/>
    <w:rsid w:val="00340637"/>
    <w:rsid w:val="00340740"/>
    <w:rsid w:val="00341576"/>
    <w:rsid w:val="00345235"/>
    <w:rsid w:val="003473F4"/>
    <w:rsid w:val="003563EF"/>
    <w:rsid w:val="00376DA1"/>
    <w:rsid w:val="0038047E"/>
    <w:rsid w:val="00383EFB"/>
    <w:rsid w:val="00384141"/>
    <w:rsid w:val="00385904"/>
    <w:rsid w:val="003A1E91"/>
    <w:rsid w:val="003A33A5"/>
    <w:rsid w:val="003A4FB0"/>
    <w:rsid w:val="003B5B30"/>
    <w:rsid w:val="003C09F0"/>
    <w:rsid w:val="003C265E"/>
    <w:rsid w:val="003C50CC"/>
    <w:rsid w:val="003D34DF"/>
    <w:rsid w:val="003D46FD"/>
    <w:rsid w:val="003D6EAC"/>
    <w:rsid w:val="003E13A7"/>
    <w:rsid w:val="003F5F1A"/>
    <w:rsid w:val="00406B29"/>
    <w:rsid w:val="00416C25"/>
    <w:rsid w:val="004200FB"/>
    <w:rsid w:val="00425FE8"/>
    <w:rsid w:val="004406AC"/>
    <w:rsid w:val="00441CD1"/>
    <w:rsid w:val="00454846"/>
    <w:rsid w:val="0045543B"/>
    <w:rsid w:val="004634BE"/>
    <w:rsid w:val="00465432"/>
    <w:rsid w:val="0047003F"/>
    <w:rsid w:val="00474D96"/>
    <w:rsid w:val="00484B9C"/>
    <w:rsid w:val="00492027"/>
    <w:rsid w:val="004A0671"/>
    <w:rsid w:val="004A265D"/>
    <w:rsid w:val="004A451E"/>
    <w:rsid w:val="004A5613"/>
    <w:rsid w:val="004A582F"/>
    <w:rsid w:val="004A6E9B"/>
    <w:rsid w:val="004B196B"/>
    <w:rsid w:val="004C458B"/>
    <w:rsid w:val="004C63D8"/>
    <w:rsid w:val="004C6645"/>
    <w:rsid w:val="004D139A"/>
    <w:rsid w:val="004E35D0"/>
    <w:rsid w:val="004E61C2"/>
    <w:rsid w:val="004F030C"/>
    <w:rsid w:val="004F3D87"/>
    <w:rsid w:val="00500503"/>
    <w:rsid w:val="00504537"/>
    <w:rsid w:val="00512724"/>
    <w:rsid w:val="00520F5E"/>
    <w:rsid w:val="005237C4"/>
    <w:rsid w:val="00535353"/>
    <w:rsid w:val="00535A2B"/>
    <w:rsid w:val="005463F4"/>
    <w:rsid w:val="00553CBE"/>
    <w:rsid w:val="00555FBF"/>
    <w:rsid w:val="005A61CC"/>
    <w:rsid w:val="005A74C3"/>
    <w:rsid w:val="005B212C"/>
    <w:rsid w:val="005B2CCD"/>
    <w:rsid w:val="005B558F"/>
    <w:rsid w:val="005C08FA"/>
    <w:rsid w:val="005C40F9"/>
    <w:rsid w:val="005C5CFC"/>
    <w:rsid w:val="005D217B"/>
    <w:rsid w:val="005D5F3E"/>
    <w:rsid w:val="005F17D4"/>
    <w:rsid w:val="005F1FB3"/>
    <w:rsid w:val="005F4A79"/>
    <w:rsid w:val="005F705E"/>
    <w:rsid w:val="005F770C"/>
    <w:rsid w:val="00600D46"/>
    <w:rsid w:val="0060730E"/>
    <w:rsid w:val="00614279"/>
    <w:rsid w:val="00620CC5"/>
    <w:rsid w:val="0063517A"/>
    <w:rsid w:val="0064458E"/>
    <w:rsid w:val="00644BDC"/>
    <w:rsid w:val="0064574F"/>
    <w:rsid w:val="006465C5"/>
    <w:rsid w:val="00654846"/>
    <w:rsid w:val="006577D7"/>
    <w:rsid w:val="00660F73"/>
    <w:rsid w:val="00667D54"/>
    <w:rsid w:val="00675E10"/>
    <w:rsid w:val="00685808"/>
    <w:rsid w:val="00697F28"/>
    <w:rsid w:val="006A3A6B"/>
    <w:rsid w:val="006B1D63"/>
    <w:rsid w:val="006B60DD"/>
    <w:rsid w:val="006D3AD0"/>
    <w:rsid w:val="006D7744"/>
    <w:rsid w:val="006E5C27"/>
    <w:rsid w:val="006F336C"/>
    <w:rsid w:val="007017B0"/>
    <w:rsid w:val="0070218E"/>
    <w:rsid w:val="007065A1"/>
    <w:rsid w:val="007135EE"/>
    <w:rsid w:val="007150E1"/>
    <w:rsid w:val="00722B80"/>
    <w:rsid w:val="00774A2B"/>
    <w:rsid w:val="00774B3C"/>
    <w:rsid w:val="007755F6"/>
    <w:rsid w:val="00780CCE"/>
    <w:rsid w:val="007862BD"/>
    <w:rsid w:val="00793514"/>
    <w:rsid w:val="007977D0"/>
    <w:rsid w:val="007A040E"/>
    <w:rsid w:val="007A2C34"/>
    <w:rsid w:val="007A7335"/>
    <w:rsid w:val="007B455D"/>
    <w:rsid w:val="007C3596"/>
    <w:rsid w:val="007E128E"/>
    <w:rsid w:val="007E4176"/>
    <w:rsid w:val="007F2F12"/>
    <w:rsid w:val="007F6E51"/>
    <w:rsid w:val="00801B02"/>
    <w:rsid w:val="00812FF0"/>
    <w:rsid w:val="00820D75"/>
    <w:rsid w:val="00821688"/>
    <w:rsid w:val="008219AB"/>
    <w:rsid w:val="0082467E"/>
    <w:rsid w:val="008271F6"/>
    <w:rsid w:val="00832281"/>
    <w:rsid w:val="00832A42"/>
    <w:rsid w:val="0083319A"/>
    <w:rsid w:val="00833649"/>
    <w:rsid w:val="008642DB"/>
    <w:rsid w:val="00864F61"/>
    <w:rsid w:val="008667F9"/>
    <w:rsid w:val="008714D7"/>
    <w:rsid w:val="00875906"/>
    <w:rsid w:val="00883771"/>
    <w:rsid w:val="0089089A"/>
    <w:rsid w:val="008A4467"/>
    <w:rsid w:val="008A7FFE"/>
    <w:rsid w:val="008B06DE"/>
    <w:rsid w:val="008B10F9"/>
    <w:rsid w:val="008B6B8E"/>
    <w:rsid w:val="008B6F95"/>
    <w:rsid w:val="008C0D2B"/>
    <w:rsid w:val="008C44B6"/>
    <w:rsid w:val="008C4CD7"/>
    <w:rsid w:val="008C57F6"/>
    <w:rsid w:val="008C5DD9"/>
    <w:rsid w:val="008C6567"/>
    <w:rsid w:val="008D5528"/>
    <w:rsid w:val="008D5832"/>
    <w:rsid w:val="008D7EAD"/>
    <w:rsid w:val="009008DD"/>
    <w:rsid w:val="0090334E"/>
    <w:rsid w:val="009037AF"/>
    <w:rsid w:val="00912B18"/>
    <w:rsid w:val="00913DE9"/>
    <w:rsid w:val="00922A6D"/>
    <w:rsid w:val="00927A0D"/>
    <w:rsid w:val="00927B1A"/>
    <w:rsid w:val="00927EF0"/>
    <w:rsid w:val="00933C83"/>
    <w:rsid w:val="00936542"/>
    <w:rsid w:val="00937943"/>
    <w:rsid w:val="00940447"/>
    <w:rsid w:val="009408A6"/>
    <w:rsid w:val="00944191"/>
    <w:rsid w:val="00944330"/>
    <w:rsid w:val="009459C3"/>
    <w:rsid w:val="0095190E"/>
    <w:rsid w:val="00952158"/>
    <w:rsid w:val="00952ED0"/>
    <w:rsid w:val="009615F7"/>
    <w:rsid w:val="0096439D"/>
    <w:rsid w:val="009679F7"/>
    <w:rsid w:val="00972224"/>
    <w:rsid w:val="0098369B"/>
    <w:rsid w:val="00990086"/>
    <w:rsid w:val="009939EF"/>
    <w:rsid w:val="00994DC4"/>
    <w:rsid w:val="009A1012"/>
    <w:rsid w:val="009A10B6"/>
    <w:rsid w:val="009A2CBA"/>
    <w:rsid w:val="009B2454"/>
    <w:rsid w:val="009B472E"/>
    <w:rsid w:val="009B53D8"/>
    <w:rsid w:val="009B7504"/>
    <w:rsid w:val="009C6CE8"/>
    <w:rsid w:val="009C6F42"/>
    <w:rsid w:val="009E1F25"/>
    <w:rsid w:val="009E489B"/>
    <w:rsid w:val="009F3454"/>
    <w:rsid w:val="00A03908"/>
    <w:rsid w:val="00A05724"/>
    <w:rsid w:val="00A23BA0"/>
    <w:rsid w:val="00A24F93"/>
    <w:rsid w:val="00A3799B"/>
    <w:rsid w:val="00A413D5"/>
    <w:rsid w:val="00A47BAD"/>
    <w:rsid w:val="00A47D5F"/>
    <w:rsid w:val="00A52BEC"/>
    <w:rsid w:val="00A57777"/>
    <w:rsid w:val="00A862A4"/>
    <w:rsid w:val="00A92BA2"/>
    <w:rsid w:val="00A9360E"/>
    <w:rsid w:val="00A973D9"/>
    <w:rsid w:val="00AA1C3B"/>
    <w:rsid w:val="00AA20DC"/>
    <w:rsid w:val="00AA2435"/>
    <w:rsid w:val="00AA49B9"/>
    <w:rsid w:val="00AB6124"/>
    <w:rsid w:val="00AB7A77"/>
    <w:rsid w:val="00AC560D"/>
    <w:rsid w:val="00AD19E4"/>
    <w:rsid w:val="00AD3673"/>
    <w:rsid w:val="00AD4A48"/>
    <w:rsid w:val="00AE0C03"/>
    <w:rsid w:val="00AE40E2"/>
    <w:rsid w:val="00AE4928"/>
    <w:rsid w:val="00AF4CC5"/>
    <w:rsid w:val="00B04E9C"/>
    <w:rsid w:val="00B11BE8"/>
    <w:rsid w:val="00B1354A"/>
    <w:rsid w:val="00B34258"/>
    <w:rsid w:val="00B34CB8"/>
    <w:rsid w:val="00B43413"/>
    <w:rsid w:val="00B51F07"/>
    <w:rsid w:val="00B55AA9"/>
    <w:rsid w:val="00B605B3"/>
    <w:rsid w:val="00B6409D"/>
    <w:rsid w:val="00B65A78"/>
    <w:rsid w:val="00B65B83"/>
    <w:rsid w:val="00B70EED"/>
    <w:rsid w:val="00B7209C"/>
    <w:rsid w:val="00B75D21"/>
    <w:rsid w:val="00B82AFD"/>
    <w:rsid w:val="00B82F44"/>
    <w:rsid w:val="00B854DA"/>
    <w:rsid w:val="00B901A9"/>
    <w:rsid w:val="00B94BF6"/>
    <w:rsid w:val="00BA2D07"/>
    <w:rsid w:val="00BA5910"/>
    <w:rsid w:val="00BB3CE8"/>
    <w:rsid w:val="00BB43FD"/>
    <w:rsid w:val="00BC3ED9"/>
    <w:rsid w:val="00BC5032"/>
    <w:rsid w:val="00BD0579"/>
    <w:rsid w:val="00BD085E"/>
    <w:rsid w:val="00BD1D69"/>
    <w:rsid w:val="00BE7E71"/>
    <w:rsid w:val="00BF06EC"/>
    <w:rsid w:val="00BF5744"/>
    <w:rsid w:val="00BF5A88"/>
    <w:rsid w:val="00C00519"/>
    <w:rsid w:val="00C0615F"/>
    <w:rsid w:val="00C10CCD"/>
    <w:rsid w:val="00C10FB4"/>
    <w:rsid w:val="00C15A97"/>
    <w:rsid w:val="00C16757"/>
    <w:rsid w:val="00C17A11"/>
    <w:rsid w:val="00C41104"/>
    <w:rsid w:val="00C42CAD"/>
    <w:rsid w:val="00C46B9E"/>
    <w:rsid w:val="00C527C3"/>
    <w:rsid w:val="00C552DE"/>
    <w:rsid w:val="00C55BAE"/>
    <w:rsid w:val="00C613B0"/>
    <w:rsid w:val="00C666BD"/>
    <w:rsid w:val="00C71560"/>
    <w:rsid w:val="00C80F74"/>
    <w:rsid w:val="00C8621F"/>
    <w:rsid w:val="00CA1872"/>
    <w:rsid w:val="00CA1D5A"/>
    <w:rsid w:val="00CA5910"/>
    <w:rsid w:val="00CA6A88"/>
    <w:rsid w:val="00CB0D76"/>
    <w:rsid w:val="00CB18D5"/>
    <w:rsid w:val="00CB393B"/>
    <w:rsid w:val="00CD02EB"/>
    <w:rsid w:val="00CF2384"/>
    <w:rsid w:val="00CF2DBD"/>
    <w:rsid w:val="00CF37B7"/>
    <w:rsid w:val="00CF7C33"/>
    <w:rsid w:val="00D15049"/>
    <w:rsid w:val="00D17EF8"/>
    <w:rsid w:val="00D31E05"/>
    <w:rsid w:val="00D35E4B"/>
    <w:rsid w:val="00D42313"/>
    <w:rsid w:val="00D45220"/>
    <w:rsid w:val="00D51EF8"/>
    <w:rsid w:val="00D532DF"/>
    <w:rsid w:val="00D5683A"/>
    <w:rsid w:val="00D6075F"/>
    <w:rsid w:val="00D64A8A"/>
    <w:rsid w:val="00D64ACA"/>
    <w:rsid w:val="00D74A8F"/>
    <w:rsid w:val="00D8155F"/>
    <w:rsid w:val="00D83830"/>
    <w:rsid w:val="00D8408A"/>
    <w:rsid w:val="00D85984"/>
    <w:rsid w:val="00D874AC"/>
    <w:rsid w:val="00D92897"/>
    <w:rsid w:val="00D9374F"/>
    <w:rsid w:val="00D96664"/>
    <w:rsid w:val="00D9771C"/>
    <w:rsid w:val="00D97BF8"/>
    <w:rsid w:val="00DA399C"/>
    <w:rsid w:val="00DA5E85"/>
    <w:rsid w:val="00DB1B72"/>
    <w:rsid w:val="00DD18B8"/>
    <w:rsid w:val="00DD3ECB"/>
    <w:rsid w:val="00DD5BF9"/>
    <w:rsid w:val="00DD760C"/>
    <w:rsid w:val="00DE0FB7"/>
    <w:rsid w:val="00DE3DD6"/>
    <w:rsid w:val="00DE517B"/>
    <w:rsid w:val="00DE5A5D"/>
    <w:rsid w:val="00DF0B84"/>
    <w:rsid w:val="00DF255F"/>
    <w:rsid w:val="00DF4C21"/>
    <w:rsid w:val="00E07E81"/>
    <w:rsid w:val="00E10E84"/>
    <w:rsid w:val="00E16D83"/>
    <w:rsid w:val="00E30C2C"/>
    <w:rsid w:val="00E311DC"/>
    <w:rsid w:val="00E31752"/>
    <w:rsid w:val="00E3534A"/>
    <w:rsid w:val="00E4082C"/>
    <w:rsid w:val="00E4444A"/>
    <w:rsid w:val="00E576B4"/>
    <w:rsid w:val="00E66470"/>
    <w:rsid w:val="00E71BDF"/>
    <w:rsid w:val="00E72B1D"/>
    <w:rsid w:val="00E8267C"/>
    <w:rsid w:val="00E95DE1"/>
    <w:rsid w:val="00E97E26"/>
    <w:rsid w:val="00EA1B72"/>
    <w:rsid w:val="00EA3A1A"/>
    <w:rsid w:val="00EA49A8"/>
    <w:rsid w:val="00EB0314"/>
    <w:rsid w:val="00EB0EBA"/>
    <w:rsid w:val="00EB2DD7"/>
    <w:rsid w:val="00EB56F6"/>
    <w:rsid w:val="00EB61E2"/>
    <w:rsid w:val="00EC0471"/>
    <w:rsid w:val="00EC3C0E"/>
    <w:rsid w:val="00EC539A"/>
    <w:rsid w:val="00ED39C3"/>
    <w:rsid w:val="00EE41E2"/>
    <w:rsid w:val="00EF1953"/>
    <w:rsid w:val="00EF2D9E"/>
    <w:rsid w:val="00EF3BC8"/>
    <w:rsid w:val="00EF7F7D"/>
    <w:rsid w:val="00F003DC"/>
    <w:rsid w:val="00F023FE"/>
    <w:rsid w:val="00F0773C"/>
    <w:rsid w:val="00F10ABD"/>
    <w:rsid w:val="00F116D6"/>
    <w:rsid w:val="00F1558B"/>
    <w:rsid w:val="00F15B84"/>
    <w:rsid w:val="00F16CBD"/>
    <w:rsid w:val="00F17078"/>
    <w:rsid w:val="00F21394"/>
    <w:rsid w:val="00F33F66"/>
    <w:rsid w:val="00F372CE"/>
    <w:rsid w:val="00F4233A"/>
    <w:rsid w:val="00F43272"/>
    <w:rsid w:val="00F50B67"/>
    <w:rsid w:val="00F52831"/>
    <w:rsid w:val="00F53B73"/>
    <w:rsid w:val="00F53D3E"/>
    <w:rsid w:val="00F56C3E"/>
    <w:rsid w:val="00F60C95"/>
    <w:rsid w:val="00F61714"/>
    <w:rsid w:val="00F7015E"/>
    <w:rsid w:val="00F7297C"/>
    <w:rsid w:val="00F828AE"/>
    <w:rsid w:val="00F85ED6"/>
    <w:rsid w:val="00F91098"/>
    <w:rsid w:val="00F9398C"/>
    <w:rsid w:val="00F9535D"/>
    <w:rsid w:val="00F97BF7"/>
    <w:rsid w:val="00FA2710"/>
    <w:rsid w:val="00FA5090"/>
    <w:rsid w:val="00FB554A"/>
    <w:rsid w:val="00FB588A"/>
    <w:rsid w:val="00FC0694"/>
    <w:rsid w:val="00FC6F29"/>
    <w:rsid w:val="00FD1341"/>
    <w:rsid w:val="00FE3AE2"/>
    <w:rsid w:val="00FF1E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0"/>
    <w:lsdException w:name="toc 7" w:uiPriority="0"/>
    <w:lsdException w:name="toc 8" w:uiPriority="0"/>
    <w:lsdException w:name="toc 9" w:uiPriority="0"/>
    <w:lsdException w:name="caption" w:uiPriority="35" w:qFormat="1"/>
    <w:lsdException w:name="List Bullet" w:semiHidden="0" w:uiPriority="0" w:unhideWhenUsed="0"/>
    <w:lsdException w:name="List Bullet 2" w:semiHidden="0" w:uiPriority="0" w:unhideWhenUsed="0"/>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Block Text" w:uiPriority="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0" w:qFormat="1"/>
  </w:latentStyles>
  <w:style w:type="paragraph" w:default="1" w:styleId="Normal">
    <w:name w:val="Normal"/>
    <w:qFormat/>
    <w:rsid w:val="000A4BA4"/>
  </w:style>
  <w:style w:type="paragraph" w:styleId="Heading1">
    <w:name w:val="heading 1"/>
    <w:basedOn w:val="Normal"/>
    <w:next w:val="BodyText"/>
    <w:link w:val="Heading1Char"/>
    <w:uiPriority w:val="9"/>
    <w:qFormat/>
    <w:rsid w:val="009A2CBA"/>
    <w:pPr>
      <w:keepNext/>
      <w:spacing w:after="240"/>
      <w:outlineLvl w:val="0"/>
    </w:pPr>
    <w:rPr>
      <w:rFonts w:eastAsiaTheme="majorEastAsia" w:cstheme="majorBidi"/>
      <w:b/>
      <w:bCs/>
      <w:szCs w:val="28"/>
    </w:rPr>
  </w:style>
  <w:style w:type="paragraph" w:styleId="Heading2">
    <w:name w:val="heading 2"/>
    <w:basedOn w:val="Normal"/>
    <w:next w:val="BodyText"/>
    <w:link w:val="Heading2Char"/>
    <w:uiPriority w:val="9"/>
    <w:semiHidden/>
    <w:unhideWhenUsed/>
    <w:qFormat/>
    <w:rsid w:val="009A2CBA"/>
    <w:pPr>
      <w:keepNext/>
      <w:spacing w:after="240"/>
      <w:outlineLvl w:val="1"/>
    </w:pPr>
    <w:rPr>
      <w:rFonts w:eastAsiaTheme="majorEastAsia" w:cstheme="majorBidi"/>
      <w:b/>
      <w:bCs/>
      <w:szCs w:val="26"/>
    </w:rPr>
  </w:style>
  <w:style w:type="paragraph" w:styleId="Heading3">
    <w:name w:val="heading 3"/>
    <w:basedOn w:val="Normal"/>
    <w:next w:val="BodyText"/>
    <w:link w:val="Heading3Char"/>
    <w:uiPriority w:val="9"/>
    <w:semiHidden/>
    <w:unhideWhenUsed/>
    <w:qFormat/>
    <w:rsid w:val="009A2CBA"/>
    <w:pPr>
      <w:keepNext/>
      <w:keepLines/>
      <w:spacing w:after="240"/>
      <w:outlineLvl w:val="2"/>
    </w:pPr>
    <w:rPr>
      <w:rFonts w:eastAsiaTheme="majorEastAsia" w:cstheme="majorBidi"/>
      <w:b/>
      <w:bCs/>
    </w:rPr>
  </w:style>
  <w:style w:type="paragraph" w:styleId="Heading4">
    <w:name w:val="heading 4"/>
    <w:basedOn w:val="Normal"/>
    <w:next w:val="BodyText"/>
    <w:link w:val="Heading4Char"/>
    <w:uiPriority w:val="9"/>
    <w:semiHidden/>
    <w:unhideWhenUsed/>
    <w:qFormat/>
    <w:rsid w:val="009A2CBA"/>
    <w:pPr>
      <w:keepNext/>
      <w:keepLines/>
      <w:spacing w:after="240"/>
      <w:outlineLvl w:val="3"/>
    </w:pPr>
    <w:rPr>
      <w:rFonts w:eastAsiaTheme="majorEastAsia" w:cstheme="majorBidi"/>
      <w:bCs/>
      <w:iCs/>
    </w:rPr>
  </w:style>
  <w:style w:type="paragraph" w:styleId="Heading5">
    <w:name w:val="heading 5"/>
    <w:basedOn w:val="Normal"/>
    <w:next w:val="BodyText"/>
    <w:link w:val="Heading5Char"/>
    <w:uiPriority w:val="9"/>
    <w:semiHidden/>
    <w:unhideWhenUsed/>
    <w:qFormat/>
    <w:rsid w:val="009A2CBA"/>
    <w:pPr>
      <w:keepNext/>
      <w:keepLines/>
      <w:spacing w:after="240"/>
      <w:outlineLvl w:val="4"/>
    </w:pPr>
    <w:rPr>
      <w:rFonts w:eastAsiaTheme="majorEastAsia" w:cstheme="majorBidi"/>
    </w:rPr>
  </w:style>
  <w:style w:type="paragraph" w:styleId="Heading6">
    <w:name w:val="heading 6"/>
    <w:basedOn w:val="Normal"/>
    <w:next w:val="BodyText"/>
    <w:link w:val="Heading6Char"/>
    <w:uiPriority w:val="9"/>
    <w:semiHidden/>
    <w:unhideWhenUsed/>
    <w:qFormat/>
    <w:rsid w:val="009A2CBA"/>
    <w:pPr>
      <w:keepNext/>
      <w:keepLines/>
      <w:spacing w:after="240"/>
      <w:outlineLvl w:val="5"/>
    </w:pPr>
    <w:rPr>
      <w:rFonts w:eastAsiaTheme="majorEastAsia" w:cstheme="majorBidi"/>
      <w:iCs/>
    </w:rPr>
  </w:style>
  <w:style w:type="paragraph" w:styleId="Heading7">
    <w:name w:val="heading 7"/>
    <w:basedOn w:val="Normal"/>
    <w:next w:val="BodyText"/>
    <w:link w:val="Heading7Char"/>
    <w:uiPriority w:val="9"/>
    <w:semiHidden/>
    <w:unhideWhenUsed/>
    <w:qFormat/>
    <w:rsid w:val="009A2CBA"/>
    <w:pPr>
      <w:keepNext/>
      <w:keepLines/>
      <w:spacing w:after="240"/>
      <w:outlineLvl w:val="6"/>
    </w:pPr>
    <w:rPr>
      <w:rFonts w:eastAsiaTheme="majorEastAsia" w:cstheme="majorBidi"/>
      <w:iCs/>
    </w:rPr>
  </w:style>
  <w:style w:type="paragraph" w:styleId="Heading8">
    <w:name w:val="heading 8"/>
    <w:basedOn w:val="Normal"/>
    <w:next w:val="BodyText"/>
    <w:link w:val="Heading8Char"/>
    <w:uiPriority w:val="9"/>
    <w:semiHidden/>
    <w:unhideWhenUsed/>
    <w:qFormat/>
    <w:rsid w:val="009A2CBA"/>
    <w:pPr>
      <w:keepNext/>
      <w:keepLines/>
      <w:spacing w:after="240"/>
      <w:outlineLvl w:val="7"/>
    </w:pPr>
    <w:rPr>
      <w:rFonts w:eastAsiaTheme="majorEastAsia" w:cstheme="majorBidi"/>
      <w:szCs w:val="20"/>
    </w:rPr>
  </w:style>
  <w:style w:type="paragraph" w:styleId="Heading9">
    <w:name w:val="heading 9"/>
    <w:basedOn w:val="Normal"/>
    <w:next w:val="BodyText"/>
    <w:link w:val="Heading9Char"/>
    <w:uiPriority w:val="9"/>
    <w:semiHidden/>
    <w:unhideWhenUsed/>
    <w:qFormat/>
    <w:rsid w:val="009A2CBA"/>
    <w:pPr>
      <w:keepNext/>
      <w:keepLines/>
      <w:spacing w:after="240"/>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40740"/>
    <w:pPr>
      <w:spacing w:after="240"/>
      <w:ind w:firstLine="720"/>
    </w:pPr>
  </w:style>
  <w:style w:type="character" w:customStyle="1" w:styleId="BodyTextChar">
    <w:name w:val="Body Text Char"/>
    <w:basedOn w:val="DefaultParagraphFont"/>
    <w:link w:val="BodyText"/>
    <w:rsid w:val="00340740"/>
  </w:style>
  <w:style w:type="character" w:customStyle="1" w:styleId="Heading1Char">
    <w:name w:val="Heading 1 Char"/>
    <w:basedOn w:val="DefaultParagraphFont"/>
    <w:link w:val="Heading1"/>
    <w:uiPriority w:val="9"/>
    <w:rsid w:val="009A2CBA"/>
    <w:rPr>
      <w:rFonts w:eastAsiaTheme="majorEastAsia" w:cstheme="majorBidi"/>
      <w:b/>
      <w:bCs/>
      <w:szCs w:val="28"/>
    </w:rPr>
  </w:style>
  <w:style w:type="character" w:customStyle="1" w:styleId="Heading2Char">
    <w:name w:val="Heading 2 Char"/>
    <w:basedOn w:val="DefaultParagraphFont"/>
    <w:link w:val="Heading2"/>
    <w:uiPriority w:val="9"/>
    <w:semiHidden/>
    <w:rsid w:val="009A2CBA"/>
    <w:rPr>
      <w:rFonts w:eastAsiaTheme="majorEastAsia" w:cstheme="majorBidi"/>
      <w:b/>
      <w:bCs/>
      <w:szCs w:val="26"/>
    </w:rPr>
  </w:style>
  <w:style w:type="character" w:customStyle="1" w:styleId="Heading3Char">
    <w:name w:val="Heading 3 Char"/>
    <w:basedOn w:val="DefaultParagraphFont"/>
    <w:link w:val="Heading3"/>
    <w:uiPriority w:val="9"/>
    <w:semiHidden/>
    <w:rsid w:val="009A2CBA"/>
    <w:rPr>
      <w:rFonts w:eastAsiaTheme="majorEastAsia" w:cstheme="majorBidi"/>
      <w:b/>
      <w:bCs/>
    </w:rPr>
  </w:style>
  <w:style w:type="character" w:customStyle="1" w:styleId="Heading4Char">
    <w:name w:val="Heading 4 Char"/>
    <w:basedOn w:val="DefaultParagraphFont"/>
    <w:link w:val="Heading4"/>
    <w:uiPriority w:val="9"/>
    <w:semiHidden/>
    <w:rsid w:val="009A2CBA"/>
    <w:rPr>
      <w:rFonts w:eastAsiaTheme="majorEastAsia" w:cstheme="majorBidi"/>
      <w:bCs/>
      <w:iCs/>
    </w:rPr>
  </w:style>
  <w:style w:type="character" w:customStyle="1" w:styleId="Heading5Char">
    <w:name w:val="Heading 5 Char"/>
    <w:basedOn w:val="DefaultParagraphFont"/>
    <w:link w:val="Heading5"/>
    <w:uiPriority w:val="9"/>
    <w:semiHidden/>
    <w:rsid w:val="009A2CBA"/>
    <w:rPr>
      <w:rFonts w:eastAsiaTheme="majorEastAsia" w:cstheme="majorBidi"/>
    </w:rPr>
  </w:style>
  <w:style w:type="character" w:customStyle="1" w:styleId="Heading6Char">
    <w:name w:val="Heading 6 Char"/>
    <w:basedOn w:val="DefaultParagraphFont"/>
    <w:link w:val="Heading6"/>
    <w:uiPriority w:val="9"/>
    <w:semiHidden/>
    <w:rsid w:val="009A2CBA"/>
    <w:rPr>
      <w:rFonts w:eastAsiaTheme="majorEastAsia" w:cstheme="majorBidi"/>
      <w:iCs/>
    </w:rPr>
  </w:style>
  <w:style w:type="character" w:customStyle="1" w:styleId="Heading7Char">
    <w:name w:val="Heading 7 Char"/>
    <w:basedOn w:val="DefaultParagraphFont"/>
    <w:link w:val="Heading7"/>
    <w:uiPriority w:val="9"/>
    <w:semiHidden/>
    <w:rsid w:val="009A2CBA"/>
    <w:rPr>
      <w:rFonts w:eastAsiaTheme="majorEastAsia" w:cstheme="majorBidi"/>
      <w:iCs/>
    </w:rPr>
  </w:style>
  <w:style w:type="character" w:customStyle="1" w:styleId="Heading8Char">
    <w:name w:val="Heading 8 Char"/>
    <w:basedOn w:val="DefaultParagraphFont"/>
    <w:link w:val="Heading8"/>
    <w:uiPriority w:val="9"/>
    <w:semiHidden/>
    <w:rsid w:val="009A2CBA"/>
    <w:rPr>
      <w:rFonts w:eastAsiaTheme="majorEastAsia" w:cstheme="majorBidi"/>
      <w:szCs w:val="20"/>
    </w:rPr>
  </w:style>
  <w:style w:type="character" w:customStyle="1" w:styleId="Heading9Char">
    <w:name w:val="Heading 9 Char"/>
    <w:basedOn w:val="DefaultParagraphFont"/>
    <w:link w:val="Heading9"/>
    <w:uiPriority w:val="9"/>
    <w:semiHidden/>
    <w:rsid w:val="009A2CBA"/>
    <w:rPr>
      <w:rFonts w:eastAsiaTheme="majorEastAsia" w:cstheme="majorBidi"/>
      <w:iCs/>
      <w:szCs w:val="20"/>
    </w:rPr>
  </w:style>
  <w:style w:type="paragraph" w:styleId="BlockText">
    <w:name w:val="Block Text"/>
    <w:basedOn w:val="Normal"/>
    <w:qFormat/>
    <w:rsid w:val="00F9535D"/>
    <w:pPr>
      <w:jc w:val="both"/>
    </w:pPr>
    <w:rPr>
      <w:rFonts w:eastAsiaTheme="minorEastAsia"/>
      <w:iCs/>
    </w:rPr>
  </w:style>
  <w:style w:type="paragraph" w:styleId="BodyText2">
    <w:name w:val="Body Text 2"/>
    <w:basedOn w:val="Normal"/>
    <w:link w:val="BodyText2Char"/>
    <w:rsid w:val="00E3534A"/>
    <w:pPr>
      <w:spacing w:line="480" w:lineRule="auto"/>
      <w:ind w:firstLine="720"/>
    </w:pPr>
  </w:style>
  <w:style w:type="character" w:customStyle="1" w:styleId="BodyText2Char">
    <w:name w:val="Body Text 2 Char"/>
    <w:basedOn w:val="DefaultParagraphFont"/>
    <w:link w:val="BodyText2"/>
    <w:rsid w:val="00E3534A"/>
  </w:style>
  <w:style w:type="paragraph" w:styleId="Quote">
    <w:name w:val="Quote"/>
    <w:basedOn w:val="Normal"/>
    <w:link w:val="QuoteChar"/>
    <w:uiPriority w:val="29"/>
    <w:qFormat/>
    <w:rsid w:val="00340740"/>
    <w:pPr>
      <w:spacing w:after="240"/>
      <w:ind w:left="720" w:right="720"/>
    </w:pPr>
    <w:rPr>
      <w:iCs/>
    </w:rPr>
  </w:style>
  <w:style w:type="character" w:customStyle="1" w:styleId="QuoteChar">
    <w:name w:val="Quote Char"/>
    <w:basedOn w:val="DefaultParagraphFont"/>
    <w:link w:val="Quote"/>
    <w:uiPriority w:val="29"/>
    <w:rsid w:val="00340740"/>
    <w:rPr>
      <w:iCs/>
    </w:rPr>
  </w:style>
  <w:style w:type="paragraph" w:customStyle="1" w:styleId="Quote2">
    <w:name w:val="Quote 2"/>
    <w:basedOn w:val="Normal"/>
    <w:link w:val="Quote2Char"/>
    <w:qFormat/>
    <w:rsid w:val="00E3534A"/>
    <w:pPr>
      <w:spacing w:line="480" w:lineRule="auto"/>
      <w:ind w:left="720" w:right="720"/>
    </w:pPr>
  </w:style>
  <w:style w:type="character" w:customStyle="1" w:styleId="Quote2Char">
    <w:name w:val="Quote 2 Char"/>
    <w:basedOn w:val="DefaultParagraphFont"/>
    <w:link w:val="Quote2"/>
    <w:rsid w:val="00E3534A"/>
  </w:style>
  <w:style w:type="paragraph" w:styleId="Title">
    <w:name w:val="Title"/>
    <w:basedOn w:val="Normal"/>
    <w:next w:val="BodyText"/>
    <w:link w:val="TitleChar"/>
    <w:uiPriority w:val="10"/>
    <w:qFormat/>
    <w:rsid w:val="00340740"/>
    <w:pPr>
      <w:keepNext/>
      <w:spacing w:after="240"/>
      <w:jc w:val="center"/>
    </w:pPr>
    <w:rPr>
      <w:rFonts w:eastAsiaTheme="majorEastAsia" w:cstheme="majorBidi"/>
      <w:kern w:val="28"/>
      <w:szCs w:val="52"/>
      <w:u w:val="single"/>
    </w:rPr>
  </w:style>
  <w:style w:type="character" w:customStyle="1" w:styleId="TitleChar">
    <w:name w:val="Title Char"/>
    <w:basedOn w:val="DefaultParagraphFont"/>
    <w:link w:val="Title"/>
    <w:uiPriority w:val="10"/>
    <w:rsid w:val="00340740"/>
    <w:rPr>
      <w:rFonts w:eastAsiaTheme="majorEastAsia" w:cstheme="majorBidi"/>
      <w:kern w:val="28"/>
      <w:szCs w:val="52"/>
      <w:u w:val="single"/>
    </w:rPr>
  </w:style>
  <w:style w:type="paragraph" w:styleId="Subtitle">
    <w:name w:val="Subtitle"/>
    <w:basedOn w:val="Normal"/>
    <w:next w:val="BodyText"/>
    <w:link w:val="SubtitleChar"/>
    <w:uiPriority w:val="11"/>
    <w:qFormat/>
    <w:rsid w:val="00340740"/>
    <w:pPr>
      <w:keepNext/>
      <w:numPr>
        <w:ilvl w:val="1"/>
      </w:numPr>
      <w:spacing w:after="240"/>
    </w:pPr>
    <w:rPr>
      <w:rFonts w:eastAsiaTheme="majorEastAsia" w:cstheme="majorBidi"/>
      <w:iCs/>
      <w:u w:val="single"/>
    </w:rPr>
  </w:style>
  <w:style w:type="character" w:customStyle="1" w:styleId="SubtitleChar">
    <w:name w:val="Subtitle Char"/>
    <w:basedOn w:val="DefaultParagraphFont"/>
    <w:link w:val="Subtitle"/>
    <w:uiPriority w:val="11"/>
    <w:rsid w:val="00340740"/>
    <w:rPr>
      <w:rFonts w:eastAsiaTheme="majorEastAsia" w:cstheme="majorBidi"/>
      <w:iCs/>
      <w:u w:val="single"/>
    </w:rPr>
  </w:style>
  <w:style w:type="paragraph" w:styleId="Header">
    <w:name w:val="header"/>
    <w:basedOn w:val="Normal"/>
    <w:link w:val="HeaderChar"/>
    <w:uiPriority w:val="99"/>
    <w:semiHidden/>
    <w:unhideWhenUsed/>
    <w:rsid w:val="009A2CBA"/>
    <w:pPr>
      <w:tabs>
        <w:tab w:val="center" w:pos="4680"/>
        <w:tab w:val="right" w:pos="9360"/>
      </w:tabs>
    </w:pPr>
  </w:style>
  <w:style w:type="character" w:customStyle="1" w:styleId="HeaderChar">
    <w:name w:val="Header Char"/>
    <w:basedOn w:val="DefaultParagraphFont"/>
    <w:link w:val="Header"/>
    <w:uiPriority w:val="99"/>
    <w:semiHidden/>
    <w:rsid w:val="009A2CBA"/>
  </w:style>
  <w:style w:type="paragraph" w:styleId="Footer">
    <w:name w:val="footer"/>
    <w:basedOn w:val="Normal"/>
    <w:link w:val="FooterChar"/>
    <w:uiPriority w:val="99"/>
    <w:unhideWhenUsed/>
    <w:rsid w:val="009A2CBA"/>
    <w:pPr>
      <w:tabs>
        <w:tab w:val="center" w:pos="4680"/>
        <w:tab w:val="right" w:pos="9360"/>
      </w:tabs>
    </w:pPr>
  </w:style>
  <w:style w:type="character" w:customStyle="1" w:styleId="FooterChar">
    <w:name w:val="Footer Char"/>
    <w:basedOn w:val="DefaultParagraphFont"/>
    <w:link w:val="Footer"/>
    <w:uiPriority w:val="99"/>
    <w:rsid w:val="009A2CBA"/>
  </w:style>
  <w:style w:type="paragraph" w:customStyle="1" w:styleId="BlockText2">
    <w:name w:val="Block Text 2"/>
    <w:basedOn w:val="Normal"/>
    <w:qFormat/>
    <w:rsid w:val="00AD3673"/>
    <w:pPr>
      <w:spacing w:line="480" w:lineRule="auto"/>
    </w:pPr>
  </w:style>
  <w:style w:type="paragraph" w:customStyle="1" w:styleId="BodyTextJ">
    <w:name w:val="Body Text J"/>
    <w:basedOn w:val="Normal"/>
    <w:qFormat/>
    <w:rsid w:val="00AD3673"/>
    <w:pPr>
      <w:spacing w:after="240"/>
      <w:ind w:firstLine="720"/>
      <w:jc w:val="both"/>
    </w:pPr>
  </w:style>
  <w:style w:type="paragraph" w:customStyle="1" w:styleId="BodyText2J">
    <w:name w:val="Body Text 2J"/>
    <w:basedOn w:val="Normal"/>
    <w:qFormat/>
    <w:rsid w:val="00AD3673"/>
    <w:pPr>
      <w:spacing w:line="480" w:lineRule="auto"/>
      <w:ind w:firstLine="720"/>
      <w:jc w:val="both"/>
    </w:pPr>
  </w:style>
  <w:style w:type="paragraph" w:customStyle="1" w:styleId="BlockTextJ">
    <w:name w:val="Block Text J"/>
    <w:basedOn w:val="Normal"/>
    <w:qFormat/>
    <w:rsid w:val="00AD3673"/>
    <w:pPr>
      <w:spacing w:after="240"/>
      <w:jc w:val="both"/>
    </w:pPr>
  </w:style>
  <w:style w:type="paragraph" w:customStyle="1" w:styleId="BlockText2J">
    <w:name w:val="Block Text 2J"/>
    <w:basedOn w:val="Normal"/>
    <w:qFormat/>
    <w:rsid w:val="00AD3673"/>
    <w:pPr>
      <w:spacing w:line="480" w:lineRule="auto"/>
      <w:jc w:val="both"/>
    </w:pPr>
  </w:style>
  <w:style w:type="paragraph" w:customStyle="1" w:styleId="QuoteJ">
    <w:name w:val="Quote J"/>
    <w:basedOn w:val="Normal"/>
    <w:qFormat/>
    <w:rsid w:val="00AD3673"/>
    <w:pPr>
      <w:spacing w:after="240"/>
      <w:ind w:left="720" w:right="720"/>
      <w:jc w:val="both"/>
    </w:pPr>
  </w:style>
  <w:style w:type="paragraph" w:customStyle="1" w:styleId="Quote2J">
    <w:name w:val="Quote 2J"/>
    <w:basedOn w:val="Normal"/>
    <w:qFormat/>
    <w:rsid w:val="00AD3673"/>
    <w:pPr>
      <w:spacing w:line="480" w:lineRule="auto"/>
      <w:ind w:left="720" w:right="720"/>
      <w:jc w:val="both"/>
    </w:pPr>
  </w:style>
  <w:style w:type="paragraph" w:customStyle="1" w:styleId="TaxDisclaimer">
    <w:name w:val="TaxDisclaimer"/>
    <w:basedOn w:val="Normal"/>
    <w:semiHidden/>
    <w:unhideWhenUsed/>
    <w:rsid w:val="008C44B6"/>
    <w:pPr>
      <w:spacing w:before="100" w:after="100"/>
    </w:pPr>
    <w:rPr>
      <w:rFonts w:ascii="Arial" w:eastAsia="Times New Roman" w:hAnsi="Arial" w:cs="Times New Roman"/>
      <w:bCs/>
      <w:sz w:val="20"/>
    </w:rPr>
  </w:style>
  <w:style w:type="paragraph" w:customStyle="1" w:styleId="ProhibitForward">
    <w:name w:val="ProhibitForward"/>
    <w:basedOn w:val="Normal"/>
    <w:semiHidden/>
    <w:unhideWhenUsed/>
    <w:qFormat/>
    <w:rsid w:val="008C44B6"/>
    <w:pPr>
      <w:jc w:val="center"/>
    </w:pPr>
    <w:rPr>
      <w:rFonts w:eastAsia="Times New Roman" w:cs="Times New Roman"/>
      <w:color w:val="FF0000"/>
      <w:sz w:val="18"/>
      <w:szCs w:val="18"/>
    </w:rPr>
  </w:style>
  <w:style w:type="character" w:customStyle="1" w:styleId="DocID">
    <w:name w:val="DocID"/>
    <w:basedOn w:val="DefaultParagraphFont"/>
    <w:semiHidden/>
    <w:qFormat/>
    <w:rsid w:val="000421B5"/>
    <w:rPr>
      <w:rFonts w:ascii="Times New Roman" w:hAnsi="Times New Roman"/>
      <w:sz w:val="16"/>
    </w:rPr>
  </w:style>
  <w:style w:type="paragraph" w:customStyle="1" w:styleId="BlockText1">
    <w:name w:val="Block Text 1"/>
    <w:basedOn w:val="Normal"/>
    <w:qFormat/>
    <w:rsid w:val="00614279"/>
    <w:pPr>
      <w:spacing w:after="240"/>
      <w:ind w:left="1440"/>
    </w:pPr>
  </w:style>
  <w:style w:type="paragraph" w:customStyle="1" w:styleId="BlockText1-2">
    <w:name w:val="Block Text 1 - 2"/>
    <w:basedOn w:val="Normal"/>
    <w:qFormat/>
    <w:rsid w:val="00614279"/>
    <w:pPr>
      <w:spacing w:line="480" w:lineRule="auto"/>
      <w:ind w:left="1440"/>
    </w:pPr>
  </w:style>
  <w:style w:type="paragraph" w:customStyle="1" w:styleId="Hang">
    <w:name w:val="Hang"/>
    <w:basedOn w:val="Normal"/>
    <w:qFormat/>
    <w:rsid w:val="00BC3ED9"/>
    <w:pPr>
      <w:spacing w:after="240"/>
      <w:ind w:left="720" w:hanging="720"/>
    </w:pPr>
  </w:style>
  <w:style w:type="paragraph" w:customStyle="1" w:styleId="Hang2">
    <w:name w:val="Hang 2"/>
    <w:basedOn w:val="Normal"/>
    <w:qFormat/>
    <w:rsid w:val="00BC3ED9"/>
    <w:pPr>
      <w:spacing w:line="480" w:lineRule="auto"/>
      <w:ind w:left="720" w:hanging="720"/>
    </w:pPr>
  </w:style>
  <w:style w:type="paragraph" w:customStyle="1" w:styleId="HangJ">
    <w:name w:val="Hang J"/>
    <w:basedOn w:val="Normal"/>
    <w:qFormat/>
    <w:rsid w:val="00BC3ED9"/>
    <w:pPr>
      <w:spacing w:after="240"/>
      <w:ind w:left="720" w:hanging="720"/>
      <w:jc w:val="both"/>
    </w:pPr>
  </w:style>
  <w:style w:type="paragraph" w:customStyle="1" w:styleId="Hang2J">
    <w:name w:val="Hang 2J"/>
    <w:basedOn w:val="Normal"/>
    <w:qFormat/>
    <w:rsid w:val="00BC3ED9"/>
    <w:pPr>
      <w:spacing w:line="480" w:lineRule="auto"/>
      <w:ind w:left="720" w:hanging="720"/>
      <w:jc w:val="both"/>
    </w:pPr>
  </w:style>
  <w:style w:type="paragraph" w:customStyle="1" w:styleId="Notary">
    <w:name w:val="Notary"/>
    <w:basedOn w:val="Normal"/>
    <w:qFormat/>
    <w:rsid w:val="001156AF"/>
    <w:pPr>
      <w:ind w:left="4320"/>
    </w:pPr>
  </w:style>
  <w:style w:type="paragraph" w:styleId="TOC1">
    <w:name w:val="toc 1"/>
    <w:basedOn w:val="Normal"/>
    <w:next w:val="Normal"/>
    <w:autoRedefine/>
    <w:uiPriority w:val="39"/>
    <w:semiHidden/>
    <w:unhideWhenUsed/>
    <w:rsid w:val="005F4A79"/>
    <w:pPr>
      <w:tabs>
        <w:tab w:val="right" w:leader="dot" w:pos="9360"/>
      </w:tabs>
      <w:spacing w:before="120" w:after="120"/>
      <w:ind w:left="720" w:right="432" w:hanging="720"/>
    </w:pPr>
    <w:rPr>
      <w:rFonts w:eastAsia="Times New Roman" w:cs="Times New Roman"/>
      <w:caps/>
      <w:noProof/>
      <w:szCs w:val="20"/>
    </w:rPr>
  </w:style>
  <w:style w:type="paragraph" w:styleId="TOC2">
    <w:name w:val="toc 2"/>
    <w:basedOn w:val="Normal"/>
    <w:next w:val="Normal"/>
    <w:autoRedefine/>
    <w:uiPriority w:val="39"/>
    <w:semiHidden/>
    <w:unhideWhenUsed/>
    <w:rsid w:val="005F4A79"/>
    <w:pPr>
      <w:tabs>
        <w:tab w:val="right" w:leader="dot" w:pos="9360"/>
      </w:tabs>
      <w:spacing w:before="120" w:after="120"/>
      <w:ind w:left="965" w:right="432" w:hanging="720"/>
    </w:pPr>
    <w:rPr>
      <w:rFonts w:eastAsia="Times New Roman" w:cs="Times New Roman"/>
      <w:smallCaps/>
      <w:noProof/>
    </w:rPr>
  </w:style>
  <w:style w:type="paragraph" w:styleId="TOC3">
    <w:name w:val="toc 3"/>
    <w:basedOn w:val="Normal"/>
    <w:next w:val="Normal"/>
    <w:autoRedefine/>
    <w:uiPriority w:val="39"/>
    <w:semiHidden/>
    <w:unhideWhenUsed/>
    <w:rsid w:val="005F4A79"/>
    <w:pPr>
      <w:tabs>
        <w:tab w:val="right" w:leader="dot" w:pos="9360"/>
      </w:tabs>
      <w:spacing w:before="120" w:after="120"/>
      <w:ind w:left="1195" w:right="432" w:hanging="720"/>
    </w:pPr>
    <w:rPr>
      <w:rFonts w:eastAsia="Times New Roman" w:cs="Times New Roman"/>
      <w:noProof/>
    </w:rPr>
  </w:style>
  <w:style w:type="paragraph" w:styleId="TOC4">
    <w:name w:val="toc 4"/>
    <w:basedOn w:val="Normal"/>
    <w:next w:val="Normal"/>
    <w:autoRedefine/>
    <w:uiPriority w:val="39"/>
    <w:semiHidden/>
    <w:unhideWhenUsed/>
    <w:rsid w:val="005F4A79"/>
    <w:pPr>
      <w:tabs>
        <w:tab w:val="right" w:leader="dot" w:pos="9360"/>
      </w:tabs>
      <w:ind w:left="1440" w:right="432" w:hanging="720"/>
    </w:pPr>
    <w:rPr>
      <w:rFonts w:eastAsia="Times New Roman" w:cs="Times New Roman"/>
      <w:noProof/>
    </w:rPr>
  </w:style>
  <w:style w:type="paragraph" w:styleId="TOC5">
    <w:name w:val="toc 5"/>
    <w:basedOn w:val="Normal"/>
    <w:next w:val="Normal"/>
    <w:autoRedefine/>
    <w:uiPriority w:val="39"/>
    <w:semiHidden/>
    <w:unhideWhenUsed/>
    <w:rsid w:val="005F4A79"/>
    <w:pPr>
      <w:tabs>
        <w:tab w:val="right" w:leader="dot" w:pos="9360"/>
      </w:tabs>
      <w:ind w:left="1685" w:right="432" w:hanging="720"/>
    </w:pPr>
    <w:rPr>
      <w:rFonts w:eastAsia="Times New Roman" w:cs="Times New Roman"/>
      <w:noProof/>
    </w:rPr>
  </w:style>
  <w:style w:type="paragraph" w:styleId="TOC6">
    <w:name w:val="toc 6"/>
    <w:basedOn w:val="Normal"/>
    <w:next w:val="Normal"/>
    <w:autoRedefine/>
    <w:semiHidden/>
    <w:unhideWhenUsed/>
    <w:rsid w:val="005F4A79"/>
    <w:pPr>
      <w:tabs>
        <w:tab w:val="right" w:leader="dot" w:pos="9360"/>
      </w:tabs>
      <w:ind w:left="1915" w:right="432" w:hanging="720"/>
    </w:pPr>
    <w:rPr>
      <w:rFonts w:eastAsia="Times New Roman" w:cs="Times New Roman"/>
      <w:noProof/>
    </w:rPr>
  </w:style>
  <w:style w:type="paragraph" w:styleId="TOC7">
    <w:name w:val="toc 7"/>
    <w:basedOn w:val="Normal"/>
    <w:next w:val="Normal"/>
    <w:autoRedefine/>
    <w:semiHidden/>
    <w:unhideWhenUsed/>
    <w:rsid w:val="005F4A79"/>
    <w:pPr>
      <w:tabs>
        <w:tab w:val="left" w:pos="5040"/>
        <w:tab w:val="right" w:leader="dot" w:pos="9360"/>
      </w:tabs>
      <w:ind w:left="2160" w:right="432" w:hanging="720"/>
    </w:pPr>
    <w:rPr>
      <w:rFonts w:eastAsia="Times New Roman" w:cs="Times New Roman"/>
      <w:noProof/>
    </w:rPr>
  </w:style>
  <w:style w:type="paragraph" w:styleId="TOC8">
    <w:name w:val="toc 8"/>
    <w:basedOn w:val="Normal"/>
    <w:next w:val="Normal"/>
    <w:autoRedefine/>
    <w:semiHidden/>
    <w:unhideWhenUsed/>
    <w:rsid w:val="005F4A79"/>
    <w:pPr>
      <w:tabs>
        <w:tab w:val="right" w:leader="dot" w:pos="9360"/>
      </w:tabs>
      <w:ind w:left="2405" w:right="432" w:hanging="720"/>
    </w:pPr>
    <w:rPr>
      <w:rFonts w:eastAsia="Times New Roman" w:cs="Times New Roman"/>
      <w:noProof/>
    </w:rPr>
  </w:style>
  <w:style w:type="paragraph" w:styleId="TOC9">
    <w:name w:val="toc 9"/>
    <w:basedOn w:val="Normal"/>
    <w:next w:val="Normal"/>
    <w:autoRedefine/>
    <w:semiHidden/>
    <w:unhideWhenUsed/>
    <w:rsid w:val="005F4A79"/>
    <w:pPr>
      <w:ind w:left="2635" w:right="432" w:hanging="720"/>
    </w:pPr>
    <w:rPr>
      <w:rFonts w:eastAsia="Times New Roman" w:cs="Times New Roman"/>
      <w:noProof/>
      <w:szCs w:val="20"/>
    </w:rPr>
  </w:style>
  <w:style w:type="paragraph" w:styleId="TOCHeading">
    <w:name w:val="TOC Heading"/>
    <w:basedOn w:val="Normal"/>
    <w:semiHidden/>
    <w:unhideWhenUsed/>
    <w:qFormat/>
    <w:rsid w:val="005F4A79"/>
    <w:pPr>
      <w:spacing w:after="240"/>
      <w:jc w:val="center"/>
    </w:pPr>
    <w:rPr>
      <w:rFonts w:eastAsia="Times New Roman" w:cs="Times New Roman"/>
      <w:b/>
      <w:szCs w:val="20"/>
    </w:rPr>
  </w:style>
  <w:style w:type="paragraph" w:customStyle="1" w:styleId="TOCPage">
    <w:name w:val="TOC Page"/>
    <w:basedOn w:val="Normal"/>
    <w:semiHidden/>
    <w:unhideWhenUsed/>
    <w:rsid w:val="005F4A79"/>
    <w:pPr>
      <w:spacing w:after="240"/>
      <w:jc w:val="right"/>
    </w:pPr>
    <w:rPr>
      <w:rFonts w:eastAsia="Times New Roman" w:cs="Times New Roman"/>
      <w:b/>
      <w:szCs w:val="20"/>
    </w:rPr>
  </w:style>
  <w:style w:type="paragraph" w:customStyle="1" w:styleId="Quote1">
    <w:name w:val="Quote 1"/>
    <w:basedOn w:val="Normal"/>
    <w:qFormat/>
    <w:rsid w:val="00B51F07"/>
    <w:pPr>
      <w:spacing w:after="240"/>
      <w:ind w:left="1440" w:right="1440"/>
      <w:jc w:val="both"/>
    </w:pPr>
  </w:style>
  <w:style w:type="paragraph" w:styleId="List">
    <w:name w:val="List"/>
    <w:basedOn w:val="Normal"/>
    <w:uiPriority w:val="99"/>
    <w:unhideWhenUsed/>
    <w:rsid w:val="00B51F07"/>
    <w:pPr>
      <w:numPr>
        <w:numId w:val="25"/>
      </w:numPr>
      <w:spacing w:after="240"/>
    </w:pPr>
  </w:style>
  <w:style w:type="paragraph" w:customStyle="1" w:styleId="ListalphaB0">
    <w:name w:val="List alpha B"/>
    <w:basedOn w:val="Normal"/>
    <w:rsid w:val="00D45220"/>
    <w:pPr>
      <w:numPr>
        <w:numId w:val="19"/>
      </w:numPr>
      <w:spacing w:after="240"/>
    </w:pPr>
    <w:rPr>
      <w:rFonts w:eastAsia="Times New Roman" w:cs="Times New Roman"/>
    </w:rPr>
  </w:style>
  <w:style w:type="paragraph" w:customStyle="1" w:styleId="Listalpha">
    <w:name w:val="List alpha"/>
    <w:basedOn w:val="Normal"/>
    <w:rsid w:val="00D45220"/>
    <w:pPr>
      <w:numPr>
        <w:numId w:val="20"/>
      </w:numPr>
      <w:spacing w:after="240"/>
    </w:pPr>
    <w:rPr>
      <w:rFonts w:eastAsia="Times New Roman" w:cs="Times New Roman"/>
    </w:rPr>
  </w:style>
  <w:style w:type="paragraph" w:customStyle="1" w:styleId="ListALPHAB">
    <w:name w:val="List ALPHA B"/>
    <w:basedOn w:val="Normal"/>
    <w:rsid w:val="00D45220"/>
    <w:pPr>
      <w:numPr>
        <w:numId w:val="21"/>
      </w:numPr>
      <w:spacing w:after="240"/>
      <w:jc w:val="both"/>
      <w:outlineLvl w:val="0"/>
    </w:pPr>
    <w:rPr>
      <w:rFonts w:eastAsia="Times New Roman" w:cs="Times New Roman"/>
    </w:rPr>
  </w:style>
  <w:style w:type="paragraph" w:customStyle="1" w:styleId="ListALPHA0">
    <w:name w:val="List ALPHA"/>
    <w:basedOn w:val="Normal"/>
    <w:rsid w:val="00D45220"/>
    <w:pPr>
      <w:numPr>
        <w:numId w:val="22"/>
      </w:numPr>
      <w:spacing w:after="240"/>
      <w:jc w:val="both"/>
      <w:outlineLvl w:val="0"/>
    </w:pPr>
    <w:rPr>
      <w:rFonts w:eastAsia="Times New Roman" w:cs="Times New Roman"/>
    </w:rPr>
  </w:style>
  <w:style w:type="paragraph" w:styleId="Closing">
    <w:name w:val="Closing"/>
    <w:basedOn w:val="Normal"/>
    <w:link w:val="ClosingChar"/>
    <w:uiPriority w:val="99"/>
    <w:rsid w:val="002630F7"/>
    <w:pPr>
      <w:spacing w:after="720"/>
      <w:ind w:left="4320"/>
      <w:contextualSpacing/>
    </w:pPr>
  </w:style>
  <w:style w:type="character" w:customStyle="1" w:styleId="ClosingChar">
    <w:name w:val="Closing Char"/>
    <w:basedOn w:val="DefaultParagraphFont"/>
    <w:link w:val="Closing"/>
    <w:uiPriority w:val="99"/>
    <w:rsid w:val="002630F7"/>
  </w:style>
  <w:style w:type="paragraph" w:customStyle="1" w:styleId="ClosingFirmName">
    <w:name w:val="ClosingFirmName"/>
    <w:basedOn w:val="Closing"/>
    <w:next w:val="Normal"/>
    <w:uiPriority w:val="99"/>
    <w:semiHidden/>
    <w:rsid w:val="002630F7"/>
    <w:pPr>
      <w:spacing w:after="240"/>
    </w:pPr>
  </w:style>
  <w:style w:type="paragraph" w:styleId="Signature">
    <w:name w:val="Signature"/>
    <w:basedOn w:val="Normal"/>
    <w:link w:val="SignatureChar"/>
    <w:uiPriority w:val="99"/>
    <w:rsid w:val="002630F7"/>
    <w:pPr>
      <w:tabs>
        <w:tab w:val="right" w:pos="9216"/>
      </w:tabs>
      <w:spacing w:after="240"/>
      <w:ind w:left="4320"/>
    </w:pPr>
  </w:style>
  <w:style w:type="character" w:customStyle="1" w:styleId="SignatureChar">
    <w:name w:val="Signature Char"/>
    <w:basedOn w:val="DefaultParagraphFont"/>
    <w:link w:val="Signature"/>
    <w:uiPriority w:val="99"/>
    <w:rsid w:val="002630F7"/>
  </w:style>
  <w:style w:type="paragraph" w:customStyle="1" w:styleId="SignatureByLine">
    <w:name w:val="SignatureByLine"/>
    <w:basedOn w:val="Signature"/>
    <w:uiPriority w:val="99"/>
    <w:semiHidden/>
    <w:rsid w:val="002630F7"/>
    <w:pPr>
      <w:ind w:left="360"/>
    </w:pPr>
  </w:style>
  <w:style w:type="paragraph" w:styleId="ListNumber">
    <w:name w:val="List Number"/>
    <w:basedOn w:val="Normal"/>
    <w:uiPriority w:val="99"/>
    <w:unhideWhenUsed/>
    <w:rsid w:val="00614279"/>
    <w:pPr>
      <w:numPr>
        <w:numId w:val="1"/>
      </w:numPr>
      <w:spacing w:after="240"/>
    </w:pPr>
  </w:style>
  <w:style w:type="paragraph" w:styleId="ListNumber2">
    <w:name w:val="List Number 2"/>
    <w:basedOn w:val="Normal"/>
    <w:uiPriority w:val="99"/>
    <w:unhideWhenUsed/>
    <w:rsid w:val="00614279"/>
    <w:pPr>
      <w:numPr>
        <w:numId w:val="3"/>
      </w:numPr>
      <w:spacing w:line="480" w:lineRule="auto"/>
      <w:contextualSpacing/>
    </w:pPr>
  </w:style>
  <w:style w:type="paragraph" w:customStyle="1" w:styleId="ListNumberB">
    <w:name w:val="List Number B"/>
    <w:basedOn w:val="Normal"/>
    <w:qFormat/>
    <w:rsid w:val="00614279"/>
    <w:pPr>
      <w:numPr>
        <w:numId w:val="23"/>
      </w:numPr>
      <w:spacing w:after="240"/>
    </w:pPr>
  </w:style>
  <w:style w:type="paragraph" w:styleId="ListBullet">
    <w:name w:val="List Bullet"/>
    <w:basedOn w:val="Normal"/>
    <w:rsid w:val="000A4BA4"/>
    <w:pPr>
      <w:numPr>
        <w:numId w:val="26"/>
      </w:numPr>
      <w:contextualSpacing/>
    </w:pPr>
  </w:style>
  <w:style w:type="paragraph" w:styleId="ListBullet2">
    <w:name w:val="List Bullet 2"/>
    <w:basedOn w:val="Normal"/>
    <w:rsid w:val="000A4BA4"/>
    <w:pPr>
      <w:numPr>
        <w:numId w:val="27"/>
      </w:numPr>
      <w:contextualSpacing/>
    </w:pPr>
  </w:style>
  <w:style w:type="paragraph" w:styleId="ListParagraph">
    <w:name w:val="List Paragraph"/>
    <w:basedOn w:val="Normal"/>
    <w:uiPriority w:val="34"/>
    <w:rsid w:val="00CA1872"/>
    <w:pPr>
      <w:ind w:left="720"/>
      <w:contextualSpacing/>
    </w:pPr>
  </w:style>
  <w:style w:type="paragraph" w:styleId="FootnoteText">
    <w:name w:val="footnote text"/>
    <w:basedOn w:val="Normal"/>
    <w:link w:val="FootnoteTextChar"/>
    <w:uiPriority w:val="99"/>
    <w:semiHidden/>
    <w:unhideWhenUsed/>
    <w:rsid w:val="0083319A"/>
    <w:rPr>
      <w:sz w:val="20"/>
      <w:szCs w:val="20"/>
    </w:rPr>
  </w:style>
  <w:style w:type="character" w:customStyle="1" w:styleId="FootnoteTextChar">
    <w:name w:val="Footnote Text Char"/>
    <w:basedOn w:val="DefaultParagraphFont"/>
    <w:link w:val="FootnoteText"/>
    <w:uiPriority w:val="99"/>
    <w:semiHidden/>
    <w:rsid w:val="0083319A"/>
    <w:rPr>
      <w:sz w:val="20"/>
      <w:szCs w:val="20"/>
    </w:rPr>
  </w:style>
  <w:style w:type="character" w:styleId="FootnoteReference">
    <w:name w:val="footnote reference"/>
    <w:basedOn w:val="DefaultParagraphFont"/>
    <w:uiPriority w:val="99"/>
    <w:semiHidden/>
    <w:unhideWhenUsed/>
    <w:rsid w:val="0083319A"/>
    <w:rPr>
      <w:vertAlign w:val="superscript"/>
    </w:rPr>
  </w:style>
  <w:style w:type="paragraph" w:styleId="EndnoteText">
    <w:name w:val="endnote text"/>
    <w:basedOn w:val="Normal"/>
    <w:link w:val="EndnoteTextChar"/>
    <w:uiPriority w:val="99"/>
    <w:semiHidden/>
    <w:unhideWhenUsed/>
    <w:rsid w:val="00C613B0"/>
    <w:rPr>
      <w:sz w:val="20"/>
      <w:szCs w:val="20"/>
    </w:rPr>
  </w:style>
  <w:style w:type="character" w:customStyle="1" w:styleId="EndnoteTextChar">
    <w:name w:val="Endnote Text Char"/>
    <w:basedOn w:val="DefaultParagraphFont"/>
    <w:link w:val="EndnoteText"/>
    <w:uiPriority w:val="99"/>
    <w:semiHidden/>
    <w:rsid w:val="00C613B0"/>
    <w:rPr>
      <w:sz w:val="20"/>
      <w:szCs w:val="20"/>
    </w:rPr>
  </w:style>
  <w:style w:type="character" w:styleId="EndnoteReference">
    <w:name w:val="endnote reference"/>
    <w:basedOn w:val="DefaultParagraphFont"/>
    <w:uiPriority w:val="99"/>
    <w:semiHidden/>
    <w:unhideWhenUsed/>
    <w:rsid w:val="00C613B0"/>
    <w:rPr>
      <w:vertAlign w:val="superscript"/>
    </w:rPr>
  </w:style>
  <w:style w:type="character" w:styleId="Hyperlink">
    <w:name w:val="Hyperlink"/>
    <w:basedOn w:val="DefaultParagraphFont"/>
    <w:uiPriority w:val="99"/>
    <w:semiHidden/>
    <w:unhideWhenUsed/>
    <w:rsid w:val="000D2555"/>
    <w:rPr>
      <w:color w:val="003366"/>
      <w:u w:val="single"/>
    </w:rPr>
  </w:style>
  <w:style w:type="character" w:styleId="FollowedHyperlink">
    <w:name w:val="FollowedHyperlink"/>
    <w:basedOn w:val="DefaultParagraphFont"/>
    <w:uiPriority w:val="99"/>
    <w:semiHidden/>
    <w:unhideWhenUsed/>
    <w:rsid w:val="00252DC4"/>
    <w:rPr>
      <w:color w:val="003366"/>
      <w:u w:val="single"/>
    </w:rPr>
  </w:style>
  <w:style w:type="paragraph" w:customStyle="1" w:styleId="Header1">
    <w:name w:val="Header1"/>
    <w:basedOn w:val="Normal"/>
    <w:rsid w:val="00252DC4"/>
    <w:pPr>
      <w:shd w:val="clear" w:color="auto" w:fill="003366"/>
      <w:spacing w:before="100" w:beforeAutospacing="1" w:after="100" w:afterAutospacing="1"/>
    </w:pPr>
    <w:rPr>
      <w:rFonts w:eastAsia="Times New Roman" w:cs="Times New Roman"/>
    </w:rPr>
  </w:style>
  <w:style w:type="paragraph" w:customStyle="1" w:styleId="tablive">
    <w:name w:val="tab_live"/>
    <w:basedOn w:val="Normal"/>
    <w:rsid w:val="00252DC4"/>
    <w:pPr>
      <w:shd w:val="clear" w:color="auto" w:fill="FFFFFF"/>
      <w:spacing w:before="100" w:beforeAutospacing="1" w:after="100" w:afterAutospacing="1"/>
    </w:pPr>
    <w:rPr>
      <w:rFonts w:eastAsia="Times New Roman" w:cs="Times New Roman"/>
    </w:rPr>
  </w:style>
  <w:style w:type="paragraph" w:customStyle="1" w:styleId="tabdead">
    <w:name w:val="tab_dead"/>
    <w:basedOn w:val="Normal"/>
    <w:rsid w:val="00252DC4"/>
    <w:pPr>
      <w:pBdr>
        <w:bottom w:val="single" w:sz="6" w:space="0" w:color="999999"/>
      </w:pBdr>
      <w:shd w:val="clear" w:color="auto" w:fill="CCCCCC"/>
      <w:spacing w:before="100" w:beforeAutospacing="1" w:after="100" w:afterAutospacing="1"/>
    </w:pPr>
    <w:rPr>
      <w:rFonts w:eastAsia="Times New Roman" w:cs="Times New Roman"/>
    </w:rPr>
  </w:style>
  <w:style w:type="paragraph" w:customStyle="1" w:styleId="navheader">
    <w:name w:val="nav_header"/>
    <w:basedOn w:val="Normal"/>
    <w:rsid w:val="00252DC4"/>
    <w:pPr>
      <w:shd w:val="clear" w:color="auto" w:fill="003366"/>
      <w:spacing w:before="100" w:beforeAutospacing="1" w:after="100" w:afterAutospacing="1"/>
    </w:pPr>
    <w:rPr>
      <w:rFonts w:ascii="Arial" w:eastAsia="Times New Roman" w:hAnsi="Arial" w:cs="Arial"/>
      <w:b/>
      <w:bCs/>
      <w:color w:val="FFFFFF"/>
    </w:rPr>
  </w:style>
  <w:style w:type="paragraph" w:customStyle="1" w:styleId="specialcontentheader">
    <w:name w:val="special_content_header"/>
    <w:basedOn w:val="Normal"/>
    <w:rsid w:val="00252DC4"/>
    <w:pPr>
      <w:shd w:val="clear" w:color="auto" w:fill="F15B2A"/>
      <w:spacing w:before="100" w:beforeAutospacing="1" w:after="100" w:afterAutospacing="1"/>
    </w:pPr>
    <w:rPr>
      <w:rFonts w:ascii="Arial" w:eastAsia="Times New Roman" w:hAnsi="Arial" w:cs="Arial"/>
      <w:b/>
      <w:bCs/>
      <w:color w:val="FFFFFF"/>
    </w:rPr>
  </w:style>
  <w:style w:type="paragraph" w:customStyle="1" w:styleId="toolbar">
    <w:name w:val="toolbar"/>
    <w:basedOn w:val="Normal"/>
    <w:rsid w:val="00252DC4"/>
    <w:pPr>
      <w:pBdr>
        <w:top w:val="single" w:sz="6" w:space="2" w:color="EEEEEE"/>
        <w:left w:val="single" w:sz="6" w:space="4" w:color="EEEEEE"/>
        <w:bottom w:val="single" w:sz="6" w:space="2" w:color="666666"/>
        <w:right w:val="single" w:sz="6" w:space="4" w:color="666666"/>
      </w:pBdr>
      <w:shd w:val="clear" w:color="auto" w:fill="CCCCCC"/>
      <w:spacing w:before="100" w:beforeAutospacing="1" w:after="100" w:afterAutospacing="1"/>
    </w:pPr>
    <w:rPr>
      <w:rFonts w:eastAsia="Times New Roman" w:cs="Times New Roman"/>
      <w:color w:val="000000"/>
    </w:rPr>
  </w:style>
  <w:style w:type="paragraph" w:customStyle="1" w:styleId="red">
    <w:name w:val="red"/>
    <w:basedOn w:val="Normal"/>
    <w:rsid w:val="00252DC4"/>
    <w:pPr>
      <w:spacing w:before="100" w:beforeAutospacing="1" w:after="100" w:afterAutospacing="1"/>
    </w:pPr>
    <w:rPr>
      <w:rFonts w:eastAsia="Times New Roman" w:cs="Times New Roman"/>
      <w:color w:val="CC0000"/>
    </w:rPr>
  </w:style>
  <w:style w:type="paragraph" w:customStyle="1" w:styleId="green">
    <w:name w:val="green"/>
    <w:basedOn w:val="Normal"/>
    <w:rsid w:val="00252DC4"/>
    <w:pPr>
      <w:spacing w:before="100" w:beforeAutospacing="1" w:after="100" w:afterAutospacing="1"/>
    </w:pPr>
    <w:rPr>
      <w:rFonts w:eastAsia="Times New Roman" w:cs="Times New Roman"/>
      <w:color w:val="339900"/>
    </w:rPr>
  </w:style>
  <w:style w:type="paragraph" w:customStyle="1" w:styleId="dead">
    <w:name w:val="dead"/>
    <w:basedOn w:val="Normal"/>
    <w:rsid w:val="00252DC4"/>
    <w:pPr>
      <w:spacing w:before="100" w:beforeAutospacing="1" w:after="100" w:afterAutospacing="1"/>
    </w:pPr>
    <w:rPr>
      <w:rFonts w:eastAsia="Times New Roman" w:cs="Times New Roman"/>
      <w:color w:val="666666"/>
    </w:rPr>
  </w:style>
  <w:style w:type="paragraph" w:customStyle="1" w:styleId="live">
    <w:name w:val="live"/>
    <w:basedOn w:val="Normal"/>
    <w:rsid w:val="00252DC4"/>
    <w:pPr>
      <w:spacing w:before="100" w:beforeAutospacing="1" w:after="100" w:afterAutospacing="1"/>
    </w:pPr>
    <w:rPr>
      <w:rFonts w:eastAsia="Times New Roman" w:cs="Times New Roman"/>
    </w:rPr>
  </w:style>
  <w:style w:type="paragraph" w:customStyle="1" w:styleId="orgname">
    <w:name w:val="org_name"/>
    <w:basedOn w:val="Normal"/>
    <w:rsid w:val="00252DC4"/>
    <w:pPr>
      <w:spacing w:before="100" w:beforeAutospacing="1" w:after="100" w:afterAutospacing="1"/>
      <w:jc w:val="right"/>
    </w:pPr>
    <w:rPr>
      <w:rFonts w:eastAsia="Times New Roman" w:cs="Times New Roman"/>
      <w:color w:val="FFFFFF"/>
    </w:rPr>
  </w:style>
  <w:style w:type="paragraph" w:customStyle="1" w:styleId="formwidth">
    <w:name w:val="form_width"/>
    <w:basedOn w:val="Normal"/>
    <w:rsid w:val="00252DC4"/>
    <w:pPr>
      <w:spacing w:before="100" w:beforeAutospacing="1" w:after="100" w:afterAutospacing="1"/>
    </w:pPr>
    <w:rPr>
      <w:rFonts w:eastAsia="Times New Roman" w:cs="Times New Roman"/>
    </w:rPr>
  </w:style>
  <w:style w:type="paragraph" w:customStyle="1" w:styleId="box">
    <w:name w:val="box"/>
    <w:basedOn w:val="Normal"/>
    <w:rsid w:val="00252DC4"/>
    <w:pPr>
      <w:pBdr>
        <w:top w:val="single" w:sz="6" w:space="0" w:color="003366"/>
        <w:left w:val="single" w:sz="6" w:space="0" w:color="003366"/>
        <w:bottom w:val="single" w:sz="6" w:space="0" w:color="003366"/>
        <w:right w:val="single" w:sz="6" w:space="0" w:color="003366"/>
      </w:pBdr>
      <w:spacing w:before="100" w:beforeAutospacing="1" w:after="100" w:afterAutospacing="1"/>
    </w:pPr>
    <w:rPr>
      <w:rFonts w:eastAsia="Times New Roman" w:cs="Times New Roman"/>
    </w:rPr>
  </w:style>
  <w:style w:type="paragraph" w:customStyle="1" w:styleId="greybox">
    <w:name w:val="grey_box"/>
    <w:basedOn w:val="Normal"/>
    <w:rsid w:val="00252DC4"/>
    <w:pPr>
      <w:pBdr>
        <w:top w:val="single" w:sz="6" w:space="4" w:color="CCCCCC"/>
        <w:left w:val="single" w:sz="6" w:space="4" w:color="CCCCCC"/>
        <w:bottom w:val="single" w:sz="6" w:space="4" w:color="CCCCCC"/>
        <w:right w:val="single" w:sz="6" w:space="4" w:color="CCCCCC"/>
      </w:pBdr>
      <w:shd w:val="clear" w:color="auto" w:fill="EEEEEE"/>
      <w:spacing w:before="100" w:beforeAutospacing="1" w:after="100" w:afterAutospacing="1"/>
    </w:pPr>
    <w:rPr>
      <w:rFonts w:eastAsia="Times New Roman" w:cs="Times New Roman"/>
    </w:rPr>
  </w:style>
  <w:style w:type="paragraph" w:customStyle="1" w:styleId="tiny">
    <w:name w:val="tiny"/>
    <w:basedOn w:val="Normal"/>
    <w:rsid w:val="00252DC4"/>
    <w:pPr>
      <w:spacing w:before="100" w:beforeAutospacing="1" w:after="100" w:afterAutospacing="1"/>
    </w:pPr>
    <w:rPr>
      <w:rFonts w:ascii="Arial" w:eastAsia="Times New Roman" w:hAnsi="Arial" w:cs="Arial"/>
      <w:sz w:val="15"/>
      <w:szCs w:val="15"/>
    </w:rPr>
  </w:style>
  <w:style w:type="paragraph" w:customStyle="1" w:styleId="large">
    <w:name w:val="large"/>
    <w:basedOn w:val="Normal"/>
    <w:rsid w:val="00252DC4"/>
    <w:pPr>
      <w:spacing w:before="100" w:beforeAutospacing="1" w:after="100" w:afterAutospacing="1"/>
    </w:pPr>
    <w:rPr>
      <w:rFonts w:ascii="Arial" w:eastAsia="Times New Roman" w:hAnsi="Arial" w:cs="Arial"/>
      <w:b/>
      <w:bCs/>
      <w:sz w:val="23"/>
      <w:szCs w:val="23"/>
    </w:rPr>
  </w:style>
  <w:style w:type="paragraph" w:customStyle="1" w:styleId="pageheader">
    <w:name w:val="page_header"/>
    <w:basedOn w:val="Normal"/>
    <w:rsid w:val="00252DC4"/>
    <w:pPr>
      <w:spacing w:before="225" w:after="150"/>
      <w:ind w:left="150" w:right="150"/>
    </w:pPr>
    <w:rPr>
      <w:rFonts w:ascii="Arial" w:eastAsia="Times New Roman" w:hAnsi="Arial" w:cs="Arial"/>
      <w:b/>
      <w:bCs/>
      <w:sz w:val="27"/>
      <w:szCs w:val="27"/>
    </w:rPr>
  </w:style>
  <w:style w:type="paragraph" w:customStyle="1" w:styleId="navlarge">
    <w:name w:val="nav_large"/>
    <w:basedOn w:val="Normal"/>
    <w:rsid w:val="00252DC4"/>
    <w:pPr>
      <w:spacing w:before="100" w:beforeAutospacing="1" w:after="100" w:afterAutospacing="1"/>
    </w:pPr>
    <w:rPr>
      <w:rFonts w:ascii="Verdana" w:eastAsia="Times New Roman" w:hAnsi="Verdana" w:cs="Times New Roman"/>
      <w:b/>
      <w:bCs/>
      <w:sz w:val="20"/>
      <w:szCs w:val="20"/>
    </w:rPr>
  </w:style>
  <w:style w:type="paragraph" w:customStyle="1" w:styleId="navsmall">
    <w:name w:val="nav_small"/>
    <w:basedOn w:val="Normal"/>
    <w:rsid w:val="00252DC4"/>
    <w:pPr>
      <w:spacing w:before="100" w:beforeAutospacing="1" w:after="100" w:afterAutospacing="1"/>
    </w:pPr>
    <w:rPr>
      <w:rFonts w:ascii="Arial" w:eastAsia="Times New Roman" w:hAnsi="Arial" w:cs="Arial"/>
      <w:sz w:val="17"/>
      <w:szCs w:val="17"/>
    </w:rPr>
  </w:style>
  <w:style w:type="paragraph" w:customStyle="1" w:styleId="bottomline">
    <w:name w:val="bottom_line"/>
    <w:basedOn w:val="Normal"/>
    <w:rsid w:val="00252DC4"/>
    <w:pPr>
      <w:pBdr>
        <w:bottom w:val="single" w:sz="6" w:space="0" w:color="000000"/>
      </w:pBdr>
      <w:spacing w:before="100" w:beforeAutospacing="1" w:after="100" w:afterAutospacing="1"/>
    </w:pPr>
    <w:rPr>
      <w:rFonts w:eastAsia="Times New Roman" w:cs="Times New Roman"/>
    </w:rPr>
  </w:style>
  <w:style w:type="paragraph" w:customStyle="1" w:styleId="topline">
    <w:name w:val="top_line"/>
    <w:basedOn w:val="Normal"/>
    <w:rsid w:val="00252DC4"/>
    <w:pPr>
      <w:pBdr>
        <w:top w:val="single" w:sz="6" w:space="0" w:color="000000"/>
      </w:pBdr>
      <w:spacing w:before="100" w:beforeAutospacing="1" w:after="100" w:afterAutospacing="1"/>
    </w:pPr>
    <w:rPr>
      <w:rFonts w:eastAsia="Times New Roman" w:cs="Times New Roman"/>
    </w:rPr>
  </w:style>
  <w:style w:type="paragraph" w:customStyle="1" w:styleId="bottomlinegrey">
    <w:name w:val="bottom_line_grey"/>
    <w:basedOn w:val="Normal"/>
    <w:rsid w:val="00252DC4"/>
    <w:pPr>
      <w:pBdr>
        <w:bottom w:val="single" w:sz="6" w:space="0" w:color="CCCCCC"/>
      </w:pBdr>
      <w:spacing w:before="100" w:beforeAutospacing="1" w:after="100" w:afterAutospacing="1"/>
    </w:pPr>
    <w:rPr>
      <w:rFonts w:eastAsia="Times New Roman" w:cs="Times New Roman"/>
    </w:rPr>
  </w:style>
  <w:style w:type="paragraph" w:customStyle="1" w:styleId="note">
    <w:name w:val="note"/>
    <w:basedOn w:val="Normal"/>
    <w:rsid w:val="00252DC4"/>
    <w:pPr>
      <w:pBdr>
        <w:top w:val="single" w:sz="6" w:space="0" w:color="F0E68C"/>
        <w:left w:val="single" w:sz="6" w:space="0" w:color="F0E68C"/>
        <w:bottom w:val="single" w:sz="6" w:space="0" w:color="F0E68C"/>
        <w:right w:val="single" w:sz="6" w:space="0" w:color="F0E68C"/>
      </w:pBdr>
      <w:shd w:val="clear" w:color="auto" w:fill="FFFFCC"/>
      <w:spacing w:before="100" w:beforeAutospacing="1" w:after="100" w:afterAutospacing="1"/>
    </w:pPr>
    <w:rPr>
      <w:rFonts w:eastAsia="Times New Roman" w:cs="Times New Roman"/>
    </w:rPr>
  </w:style>
  <w:style w:type="paragraph" w:customStyle="1" w:styleId="columnheader">
    <w:name w:val="column_header"/>
    <w:basedOn w:val="Normal"/>
    <w:rsid w:val="00252DC4"/>
    <w:pPr>
      <w:shd w:val="clear" w:color="auto" w:fill="EEEEEE"/>
      <w:spacing w:before="100" w:beforeAutospacing="1" w:after="100" w:afterAutospacing="1"/>
    </w:pPr>
    <w:rPr>
      <w:rFonts w:eastAsia="Times New Roman" w:cs="Times New Roman"/>
      <w:b/>
      <w:bCs/>
      <w:color w:val="000000"/>
    </w:rPr>
  </w:style>
  <w:style w:type="paragraph" w:customStyle="1" w:styleId="litegreyrow">
    <w:name w:val="lite_grey_row"/>
    <w:basedOn w:val="Normal"/>
    <w:rsid w:val="00252DC4"/>
    <w:pPr>
      <w:shd w:val="clear" w:color="auto" w:fill="EEEEEE"/>
      <w:spacing w:before="100" w:beforeAutospacing="1" w:after="100" w:afterAutospacing="1"/>
    </w:pPr>
    <w:rPr>
      <w:rFonts w:eastAsia="Times New Roman" w:cs="Times New Roman"/>
    </w:rPr>
  </w:style>
  <w:style w:type="paragraph" w:customStyle="1" w:styleId="whiterow">
    <w:name w:val="white_row"/>
    <w:basedOn w:val="Normal"/>
    <w:rsid w:val="00252DC4"/>
    <w:pPr>
      <w:shd w:val="clear" w:color="auto" w:fill="FFFFFF"/>
      <w:spacing w:before="100" w:beforeAutospacing="1" w:after="100" w:afterAutospacing="1"/>
    </w:pPr>
    <w:rPr>
      <w:rFonts w:eastAsia="Times New Roman" w:cs="Times New Roman"/>
    </w:rPr>
  </w:style>
  <w:style w:type="paragraph" w:customStyle="1" w:styleId="submitbut">
    <w:name w:val="submit_but"/>
    <w:basedOn w:val="Normal"/>
    <w:rsid w:val="00252DC4"/>
    <w:pPr>
      <w:pBdr>
        <w:top w:val="outset" w:sz="6" w:space="0" w:color="EEEEEE"/>
        <w:left w:val="outset" w:sz="6" w:space="0" w:color="EEEEEE"/>
        <w:bottom w:val="outset" w:sz="6" w:space="0" w:color="EEEEEE"/>
        <w:right w:val="outset" w:sz="6" w:space="0" w:color="EEEEEE"/>
      </w:pBdr>
      <w:shd w:val="clear" w:color="auto" w:fill="CCCCCC"/>
      <w:spacing w:before="100" w:beforeAutospacing="1" w:after="100" w:afterAutospacing="1"/>
    </w:pPr>
    <w:rPr>
      <w:rFonts w:eastAsia="Times New Roman" w:cs="Times New Roman"/>
    </w:rPr>
  </w:style>
  <w:style w:type="paragraph" w:customStyle="1" w:styleId="content">
    <w:name w:val="content"/>
    <w:basedOn w:val="Normal"/>
    <w:rsid w:val="00252DC4"/>
    <w:pPr>
      <w:spacing w:before="100" w:beforeAutospacing="1" w:after="100" w:afterAutospacing="1"/>
    </w:pPr>
    <w:rPr>
      <w:rFonts w:eastAsia="Times New Roman" w:cs="Times New Roman"/>
    </w:rPr>
  </w:style>
  <w:style w:type="paragraph" w:customStyle="1" w:styleId="message">
    <w:name w:val="message"/>
    <w:basedOn w:val="Normal"/>
    <w:rsid w:val="00252DC4"/>
    <w:pPr>
      <w:pBdr>
        <w:top w:val="single" w:sz="6" w:space="4" w:color="CC0000"/>
        <w:left w:val="single" w:sz="6" w:space="4" w:color="CC0000"/>
        <w:bottom w:val="single" w:sz="6" w:space="4" w:color="CC0000"/>
        <w:right w:val="single" w:sz="6" w:space="4" w:color="CC0000"/>
      </w:pBdr>
      <w:shd w:val="clear" w:color="auto" w:fill="FFEEEE"/>
      <w:spacing w:before="100" w:beforeAutospacing="1" w:after="100" w:afterAutospacing="1"/>
    </w:pPr>
    <w:rPr>
      <w:rFonts w:ascii="Verdana" w:eastAsia="Times New Roman" w:hAnsi="Verdana" w:cs="Times New Roman"/>
      <w:b/>
      <w:bCs/>
      <w:color w:val="CC0000"/>
      <w:sz w:val="18"/>
      <w:szCs w:val="18"/>
    </w:rPr>
  </w:style>
  <w:style w:type="paragraph" w:customStyle="1" w:styleId="highlight">
    <w:name w:val="highlight"/>
    <w:basedOn w:val="Normal"/>
    <w:rsid w:val="00252DC4"/>
    <w:pPr>
      <w:pBdr>
        <w:top w:val="single" w:sz="6" w:space="2" w:color="99CC99"/>
        <w:left w:val="single" w:sz="6" w:space="2" w:color="99CC99"/>
        <w:bottom w:val="single" w:sz="6" w:space="2" w:color="99CC99"/>
        <w:right w:val="single" w:sz="6" w:space="2" w:color="99CC99"/>
      </w:pBdr>
      <w:shd w:val="clear" w:color="auto" w:fill="CAEECA"/>
      <w:spacing w:before="30" w:after="30"/>
      <w:ind w:left="30" w:right="30"/>
    </w:pPr>
    <w:rPr>
      <w:rFonts w:ascii="Verdana" w:eastAsia="Times New Roman" w:hAnsi="Verdana" w:cs="Times New Roman"/>
      <w:b/>
      <w:bCs/>
      <w:color w:val="000000"/>
      <w:sz w:val="18"/>
      <w:szCs w:val="18"/>
    </w:rPr>
  </w:style>
  <w:style w:type="paragraph" w:customStyle="1" w:styleId="articletitle">
    <w:name w:val="article_title"/>
    <w:basedOn w:val="Normal"/>
    <w:rsid w:val="00252DC4"/>
    <w:pPr>
      <w:spacing w:before="150"/>
    </w:pPr>
    <w:rPr>
      <w:rFonts w:ascii="Arial" w:eastAsia="Times New Roman" w:hAnsi="Arial" w:cs="Arial"/>
      <w:b/>
      <w:bCs/>
      <w:sz w:val="27"/>
      <w:szCs w:val="27"/>
    </w:rPr>
  </w:style>
  <w:style w:type="paragraph" w:customStyle="1" w:styleId="articledate">
    <w:name w:val="article_date"/>
    <w:basedOn w:val="Normal"/>
    <w:rsid w:val="00252DC4"/>
    <w:pPr>
      <w:spacing w:after="150"/>
    </w:pPr>
    <w:rPr>
      <w:rFonts w:eastAsia="Times New Roman" w:cs="Times New Roman"/>
      <w:color w:val="666666"/>
    </w:rPr>
  </w:style>
  <w:style w:type="paragraph" w:customStyle="1" w:styleId="pagerlive">
    <w:name w:val="pager_live"/>
    <w:basedOn w:val="Normal"/>
    <w:rsid w:val="00252DC4"/>
    <w:pPr>
      <w:pBdr>
        <w:top w:val="single" w:sz="6" w:space="2" w:color="99CC99"/>
        <w:left w:val="single" w:sz="6" w:space="2" w:color="99CC99"/>
        <w:bottom w:val="single" w:sz="6" w:space="2" w:color="99CC99"/>
        <w:right w:val="single" w:sz="6" w:space="2" w:color="99CC99"/>
      </w:pBdr>
      <w:shd w:val="clear" w:color="auto" w:fill="CAEECA"/>
    </w:pPr>
    <w:rPr>
      <w:rFonts w:ascii="Arial" w:eastAsia="Times New Roman" w:hAnsi="Arial" w:cs="Arial"/>
      <w:b/>
      <w:bCs/>
      <w:color w:val="000000"/>
      <w:sz w:val="18"/>
      <w:szCs w:val="18"/>
    </w:rPr>
  </w:style>
  <w:style w:type="paragraph" w:customStyle="1" w:styleId="pagerdead">
    <w:name w:val="pager_dead"/>
    <w:basedOn w:val="Normal"/>
    <w:rsid w:val="00252DC4"/>
    <w:pPr>
      <w:pBdr>
        <w:top w:val="single" w:sz="6" w:space="2" w:color="CCCCCC"/>
        <w:left w:val="single" w:sz="6" w:space="2" w:color="CCCCCC"/>
        <w:bottom w:val="single" w:sz="6" w:space="2" w:color="CCCCCC"/>
        <w:right w:val="single" w:sz="6" w:space="2" w:color="CCCCCC"/>
      </w:pBdr>
      <w:shd w:val="clear" w:color="auto" w:fill="EEEEEE"/>
    </w:pPr>
    <w:rPr>
      <w:rFonts w:ascii="Arial" w:eastAsia="Times New Roman" w:hAnsi="Arial" w:cs="Arial"/>
      <w:color w:val="000000"/>
      <w:sz w:val="18"/>
      <w:szCs w:val="18"/>
    </w:rPr>
  </w:style>
  <w:style w:type="paragraph" w:customStyle="1" w:styleId="errhilite">
    <w:name w:val="errhilite"/>
    <w:basedOn w:val="Normal"/>
    <w:rsid w:val="00252DC4"/>
    <w:pPr>
      <w:pBdr>
        <w:top w:val="inset" w:sz="12" w:space="0" w:color="CC0000"/>
        <w:left w:val="inset" w:sz="12" w:space="0" w:color="CC0000"/>
        <w:bottom w:val="inset" w:sz="12" w:space="0" w:color="CC0000"/>
        <w:right w:val="inset" w:sz="12" w:space="0" w:color="CC0000"/>
      </w:pBdr>
      <w:shd w:val="clear" w:color="auto" w:fill="FFEEEE"/>
      <w:spacing w:before="100" w:beforeAutospacing="1" w:after="100" w:afterAutospacing="1"/>
    </w:pPr>
    <w:rPr>
      <w:rFonts w:eastAsia="Times New Roman" w:cs="Times New Roman"/>
      <w:color w:val="CC0000"/>
    </w:rPr>
  </w:style>
  <w:style w:type="paragraph" w:customStyle="1" w:styleId="calgreyheader">
    <w:name w:val="cal_grey_header"/>
    <w:basedOn w:val="Normal"/>
    <w:rsid w:val="00252DC4"/>
    <w:pPr>
      <w:pBdr>
        <w:top w:val="single" w:sz="6" w:space="2" w:color="000000"/>
        <w:bottom w:val="single" w:sz="6" w:space="2" w:color="000000"/>
      </w:pBdr>
      <w:shd w:val="clear" w:color="auto" w:fill="CCCCCC"/>
      <w:spacing w:before="100" w:beforeAutospacing="1" w:after="100" w:afterAutospacing="1"/>
    </w:pPr>
    <w:rPr>
      <w:rFonts w:eastAsia="Times New Roman" w:cs="Times New Roman"/>
      <w:b/>
      <w:bCs/>
      <w:color w:val="000000"/>
    </w:rPr>
  </w:style>
  <w:style w:type="paragraph" w:customStyle="1" w:styleId="callitegreyheader">
    <w:name w:val="cal_lite_grey_header"/>
    <w:basedOn w:val="Normal"/>
    <w:rsid w:val="00252DC4"/>
    <w:pPr>
      <w:pBdr>
        <w:bottom w:val="single" w:sz="6" w:space="0" w:color="000000"/>
      </w:pBdr>
      <w:shd w:val="clear" w:color="auto" w:fill="EEEEEE"/>
      <w:spacing w:before="100" w:beforeAutospacing="1" w:after="100" w:afterAutospacing="1"/>
    </w:pPr>
    <w:rPr>
      <w:rFonts w:eastAsia="Times New Roman" w:cs="Times New Roman"/>
      <w:b/>
      <w:bCs/>
      <w:color w:val="000000"/>
    </w:rPr>
  </w:style>
  <w:style w:type="paragraph" w:customStyle="1" w:styleId="calwhiteheader">
    <w:name w:val="cal_white_header"/>
    <w:basedOn w:val="Normal"/>
    <w:rsid w:val="00252DC4"/>
    <w:pPr>
      <w:pBdr>
        <w:bottom w:val="single" w:sz="6" w:space="0" w:color="000000"/>
      </w:pBdr>
      <w:spacing w:before="100" w:beforeAutospacing="1" w:after="100" w:afterAutospacing="1"/>
    </w:pPr>
    <w:rPr>
      <w:rFonts w:eastAsia="Times New Roman" w:cs="Times New Roman"/>
      <w:b/>
      <w:bCs/>
      <w:color w:val="000000"/>
    </w:rPr>
  </w:style>
  <w:style w:type="paragraph" w:customStyle="1" w:styleId="notepad">
    <w:name w:val="notepad"/>
    <w:basedOn w:val="Normal"/>
    <w:rsid w:val="00252DC4"/>
    <w:pPr>
      <w:pBdr>
        <w:top w:val="single" w:sz="6" w:space="0" w:color="F0E68C"/>
        <w:left w:val="single" w:sz="6" w:space="0" w:color="F0E68C"/>
        <w:bottom w:val="single" w:sz="6" w:space="0" w:color="F0E68C"/>
        <w:right w:val="single" w:sz="6" w:space="0" w:color="F0E68C"/>
      </w:pBdr>
      <w:shd w:val="clear" w:color="auto" w:fill="FFFFCC"/>
      <w:spacing w:before="100" w:beforeAutospacing="1" w:after="100" w:afterAutospacing="1"/>
    </w:pPr>
    <w:rPr>
      <w:rFonts w:eastAsia="Times New Roman" w:cs="Times New Roman"/>
    </w:rPr>
  </w:style>
  <w:style w:type="paragraph" w:customStyle="1" w:styleId="bulletlist">
    <w:name w:val="bullet_list"/>
    <w:basedOn w:val="Normal"/>
    <w:rsid w:val="00252DC4"/>
    <w:pPr>
      <w:spacing w:before="75"/>
      <w:ind w:left="195"/>
    </w:pPr>
    <w:rPr>
      <w:rFonts w:eastAsia="Times New Roman" w:cs="Times New Roman"/>
      <w:color w:val="DDDDDD"/>
    </w:rPr>
  </w:style>
  <w:style w:type="paragraph" w:customStyle="1" w:styleId="bulletlistnobullet">
    <w:name w:val="bullet_list_no_bullet"/>
    <w:basedOn w:val="Normal"/>
    <w:rsid w:val="00252DC4"/>
    <w:pPr>
      <w:spacing w:before="75"/>
    </w:pPr>
    <w:rPr>
      <w:rFonts w:eastAsia="Times New Roman" w:cs="Times New Roman"/>
      <w:color w:val="DDDDDD"/>
    </w:rPr>
  </w:style>
  <w:style w:type="paragraph" w:customStyle="1" w:styleId="iconmenu">
    <w:name w:val="icon_menu"/>
    <w:basedOn w:val="Normal"/>
    <w:rsid w:val="00252DC4"/>
    <w:rPr>
      <w:rFonts w:eastAsia="Times New Roman" w:cs="Times New Roman"/>
      <w:b/>
      <w:bCs/>
      <w:sz w:val="18"/>
      <w:szCs w:val="18"/>
    </w:rPr>
  </w:style>
  <w:style w:type="paragraph" w:customStyle="1" w:styleId="contentcopyright">
    <w:name w:val="content_copyright"/>
    <w:basedOn w:val="Normal"/>
    <w:rsid w:val="00252DC4"/>
    <w:pPr>
      <w:spacing w:before="300"/>
      <w:ind w:left="300" w:right="300"/>
    </w:pPr>
    <w:rPr>
      <w:rFonts w:eastAsia="Times New Roman" w:cs="Times New Roman"/>
      <w:color w:val="666666"/>
    </w:rPr>
  </w:style>
  <w:style w:type="paragraph" w:customStyle="1" w:styleId="eventicon1">
    <w:name w:val="event_icon_1"/>
    <w:basedOn w:val="Normal"/>
    <w:rsid w:val="00252DC4"/>
    <w:pPr>
      <w:pBdr>
        <w:top w:val="single" w:sz="6" w:space="0" w:color="CC0000"/>
        <w:left w:val="single" w:sz="6" w:space="2" w:color="CC0000"/>
        <w:bottom w:val="single" w:sz="6" w:space="0" w:color="CC0000"/>
        <w:right w:val="single" w:sz="6" w:space="2" w:color="CC0000"/>
      </w:pBdr>
      <w:spacing w:before="100" w:beforeAutospacing="1" w:after="100" w:afterAutospacing="1"/>
    </w:pPr>
    <w:rPr>
      <w:rFonts w:eastAsia="Times New Roman" w:cs="Times New Roman"/>
      <w:b/>
      <w:bCs/>
      <w:sz w:val="18"/>
      <w:szCs w:val="18"/>
    </w:rPr>
  </w:style>
  <w:style w:type="paragraph" w:customStyle="1" w:styleId="eventicon2">
    <w:name w:val="event_icon_2"/>
    <w:basedOn w:val="Normal"/>
    <w:rsid w:val="00252DC4"/>
    <w:pPr>
      <w:pBdr>
        <w:top w:val="single" w:sz="6" w:space="0" w:color="0000CC"/>
        <w:left w:val="single" w:sz="6" w:space="2" w:color="0000CC"/>
        <w:bottom w:val="single" w:sz="6" w:space="0" w:color="0000CC"/>
        <w:right w:val="single" w:sz="6" w:space="2" w:color="0000CC"/>
      </w:pBdr>
      <w:spacing w:before="100" w:beforeAutospacing="1" w:after="100" w:afterAutospacing="1"/>
    </w:pPr>
    <w:rPr>
      <w:rFonts w:eastAsia="Times New Roman" w:cs="Times New Roman"/>
      <w:b/>
      <w:bCs/>
      <w:sz w:val="18"/>
      <w:szCs w:val="18"/>
    </w:rPr>
  </w:style>
  <w:style w:type="paragraph" w:customStyle="1" w:styleId="eventicon3">
    <w:name w:val="event_icon_3"/>
    <w:basedOn w:val="Normal"/>
    <w:rsid w:val="00252DC4"/>
    <w:pPr>
      <w:pBdr>
        <w:top w:val="single" w:sz="6" w:space="0" w:color="9933CC"/>
        <w:left w:val="single" w:sz="6" w:space="3" w:color="9933CC"/>
        <w:bottom w:val="single" w:sz="6" w:space="0" w:color="9933CC"/>
        <w:right w:val="single" w:sz="6" w:space="3" w:color="9933CC"/>
      </w:pBdr>
      <w:spacing w:before="100" w:beforeAutospacing="1" w:after="100" w:afterAutospacing="1"/>
    </w:pPr>
    <w:rPr>
      <w:rFonts w:eastAsia="Times New Roman" w:cs="Times New Roman"/>
      <w:b/>
      <w:bCs/>
      <w:sz w:val="18"/>
      <w:szCs w:val="18"/>
    </w:rPr>
  </w:style>
  <w:style w:type="paragraph" w:customStyle="1" w:styleId="eventicon4">
    <w:name w:val="event_icon_4"/>
    <w:basedOn w:val="Normal"/>
    <w:rsid w:val="00252DC4"/>
    <w:pPr>
      <w:pBdr>
        <w:top w:val="single" w:sz="6" w:space="0" w:color="FF6600"/>
        <w:left w:val="single" w:sz="6" w:space="2" w:color="FF6600"/>
        <w:bottom w:val="single" w:sz="6" w:space="0" w:color="FF6600"/>
        <w:right w:val="single" w:sz="6" w:space="2" w:color="FF6600"/>
      </w:pBdr>
      <w:spacing w:before="100" w:beforeAutospacing="1" w:after="100" w:afterAutospacing="1"/>
    </w:pPr>
    <w:rPr>
      <w:rFonts w:eastAsia="Times New Roman" w:cs="Times New Roman"/>
      <w:b/>
      <w:bCs/>
      <w:sz w:val="18"/>
      <w:szCs w:val="18"/>
    </w:rPr>
  </w:style>
  <w:style w:type="paragraph" w:customStyle="1" w:styleId="eventicon5">
    <w:name w:val="event_icon_5"/>
    <w:basedOn w:val="Normal"/>
    <w:rsid w:val="00252DC4"/>
    <w:pPr>
      <w:pBdr>
        <w:top w:val="single" w:sz="6" w:space="0" w:color="330000"/>
        <w:left w:val="single" w:sz="6" w:space="2" w:color="330000"/>
        <w:bottom w:val="single" w:sz="6" w:space="0" w:color="330000"/>
        <w:right w:val="single" w:sz="6" w:space="2" w:color="330000"/>
      </w:pBdr>
      <w:spacing w:before="100" w:beforeAutospacing="1" w:after="100" w:afterAutospacing="1"/>
    </w:pPr>
    <w:rPr>
      <w:rFonts w:eastAsia="Times New Roman" w:cs="Times New Roman"/>
      <w:b/>
      <w:bCs/>
      <w:sz w:val="18"/>
      <w:szCs w:val="18"/>
    </w:rPr>
  </w:style>
  <w:style w:type="paragraph" w:customStyle="1" w:styleId="eventicon7">
    <w:name w:val="event_icon_7"/>
    <w:basedOn w:val="Normal"/>
    <w:rsid w:val="00252DC4"/>
    <w:pPr>
      <w:pBdr>
        <w:top w:val="single" w:sz="6" w:space="0" w:color="CCCC00"/>
        <w:left w:val="single" w:sz="6" w:space="2" w:color="CCCC00"/>
        <w:bottom w:val="single" w:sz="6" w:space="0" w:color="CCCC00"/>
        <w:right w:val="single" w:sz="6" w:space="2" w:color="CCCC00"/>
      </w:pBdr>
      <w:spacing w:before="100" w:beforeAutospacing="1" w:after="100" w:afterAutospacing="1"/>
    </w:pPr>
    <w:rPr>
      <w:rFonts w:eastAsia="Times New Roman" w:cs="Times New Roman"/>
      <w:b/>
      <w:bCs/>
      <w:sz w:val="18"/>
      <w:szCs w:val="18"/>
    </w:rPr>
  </w:style>
  <w:style w:type="paragraph" w:customStyle="1" w:styleId="eventicon8">
    <w:name w:val="event_icon_8"/>
    <w:basedOn w:val="Normal"/>
    <w:rsid w:val="00252DC4"/>
    <w:pPr>
      <w:pBdr>
        <w:top w:val="single" w:sz="6" w:space="0" w:color="4C9900"/>
        <w:left w:val="single" w:sz="6" w:space="2" w:color="4C9900"/>
        <w:bottom w:val="single" w:sz="6" w:space="0" w:color="4C9900"/>
        <w:right w:val="single" w:sz="6" w:space="2" w:color="4C9900"/>
      </w:pBdr>
      <w:spacing w:before="100" w:beforeAutospacing="1" w:after="100" w:afterAutospacing="1"/>
    </w:pPr>
    <w:rPr>
      <w:rFonts w:eastAsia="Times New Roman" w:cs="Times New Roman"/>
      <w:b/>
      <w:bCs/>
      <w:sz w:val="18"/>
      <w:szCs w:val="18"/>
    </w:rPr>
  </w:style>
  <w:style w:type="paragraph" w:customStyle="1" w:styleId="calwhiteheader1">
    <w:name w:val="cal_white_header1"/>
    <w:basedOn w:val="Normal"/>
    <w:rsid w:val="00252DC4"/>
    <w:pPr>
      <w:pBdr>
        <w:bottom w:val="single" w:sz="6" w:space="0" w:color="000000"/>
      </w:pBdr>
      <w:spacing w:before="100" w:beforeAutospacing="1" w:after="100" w:afterAutospacing="1"/>
    </w:pPr>
    <w:rPr>
      <w:rFonts w:eastAsia="Times New Roman" w:cs="Times New Roman"/>
      <w:b/>
      <w:bCs/>
      <w:color w:val="000000"/>
      <w:sz w:val="21"/>
      <w:szCs w:val="21"/>
    </w:rPr>
  </w:style>
  <w:style w:type="paragraph" w:styleId="NormalWeb">
    <w:name w:val="Normal (Web)"/>
    <w:basedOn w:val="Normal"/>
    <w:uiPriority w:val="99"/>
    <w:semiHidden/>
    <w:unhideWhenUsed/>
    <w:rsid w:val="00252DC4"/>
    <w:pPr>
      <w:spacing w:before="100" w:beforeAutospacing="1" w:after="100" w:afterAutospacing="1"/>
    </w:pPr>
    <w:rPr>
      <w:rFonts w:eastAsia="Times New Roman" w:cs="Times New Roman"/>
    </w:rPr>
  </w:style>
  <w:style w:type="paragraph" w:customStyle="1" w:styleId="Header2">
    <w:name w:val="Header2"/>
    <w:basedOn w:val="Normal"/>
    <w:rsid w:val="001E327E"/>
    <w:pPr>
      <w:shd w:val="clear" w:color="auto" w:fill="003366"/>
      <w:spacing w:before="100" w:beforeAutospacing="1" w:after="100" w:afterAutospacing="1"/>
    </w:pPr>
    <w:rPr>
      <w:rFonts w:eastAsia="Times New Roman" w:cs="Times New Roman"/>
    </w:rPr>
  </w:style>
  <w:style w:type="paragraph" w:customStyle="1" w:styleId="calsponsoredheader">
    <w:name w:val="cal_sponsored_header"/>
    <w:basedOn w:val="Normal"/>
    <w:rsid w:val="001D25D1"/>
    <w:pPr>
      <w:pBdr>
        <w:bottom w:val="single" w:sz="6" w:space="0" w:color="333333"/>
      </w:pBdr>
      <w:shd w:val="clear" w:color="auto" w:fill="FFFFE8"/>
      <w:spacing w:before="100" w:beforeAutospacing="1" w:after="100" w:afterAutospacing="1"/>
    </w:pPr>
    <w:rPr>
      <w:rFonts w:eastAsia="Times New Roman" w:cs="Times New Roman"/>
      <w:b/>
      <w:bCs/>
      <w:color w:val="000000"/>
    </w:rPr>
  </w:style>
  <w:style w:type="paragraph" w:customStyle="1" w:styleId="sponsored-event-header">
    <w:name w:val="sponsored-event-header"/>
    <w:basedOn w:val="Normal"/>
    <w:rsid w:val="001D25D1"/>
    <w:rPr>
      <w:rFonts w:eastAsia="Times New Roman" w:cs="Times New Roman"/>
    </w:rPr>
  </w:style>
  <w:style w:type="paragraph" w:customStyle="1" w:styleId="sponsored-event-content">
    <w:name w:val="sponsored-event-content"/>
    <w:basedOn w:val="Normal"/>
    <w:rsid w:val="001D25D1"/>
    <w:rPr>
      <w:rFonts w:eastAsia="Times New Roman" w:cs="Times New Roman"/>
      <w:vanish/>
    </w:rPr>
  </w:style>
  <w:style w:type="paragraph" w:customStyle="1" w:styleId="sponsored-event-click">
    <w:name w:val="sponsored-event-click"/>
    <w:basedOn w:val="Normal"/>
    <w:rsid w:val="001D25D1"/>
    <w:pPr>
      <w:pBdr>
        <w:top w:val="single" w:sz="6" w:space="8" w:color="CCCCCC"/>
        <w:left w:val="single" w:sz="6" w:space="8" w:color="CCCCCC"/>
        <w:bottom w:val="single" w:sz="6" w:space="8" w:color="CCCCCC"/>
        <w:right w:val="single" w:sz="6" w:space="0" w:color="CCCCCC"/>
      </w:pBdr>
      <w:shd w:val="clear" w:color="auto" w:fill="F9F9F9"/>
      <w:spacing w:before="100" w:beforeAutospacing="1" w:after="100" w:afterAutospacing="1"/>
    </w:pPr>
    <w:rPr>
      <w:rFonts w:eastAsia="Times New Roman" w:cs="Times New Roman"/>
      <w:sz w:val="25"/>
      <w:szCs w:val="25"/>
    </w:rPr>
  </w:style>
  <w:style w:type="paragraph" w:customStyle="1" w:styleId="sponsored-event-hover-text">
    <w:name w:val="sponsored-event-hover-text"/>
    <w:basedOn w:val="Normal"/>
    <w:rsid w:val="001D25D1"/>
    <w:pPr>
      <w:spacing w:before="100" w:beforeAutospacing="1" w:after="100" w:afterAutospacing="1"/>
      <w:ind w:left="300"/>
    </w:pPr>
    <w:rPr>
      <w:rFonts w:eastAsia="Times New Roman" w:cs="Times New Roman"/>
      <w:color w:val="CC0000"/>
    </w:rPr>
  </w:style>
  <w:style w:type="paragraph" w:customStyle="1" w:styleId="bluemessage">
    <w:name w:val="blue_message"/>
    <w:basedOn w:val="Normal"/>
    <w:rsid w:val="001D25D1"/>
    <w:pPr>
      <w:pBdr>
        <w:top w:val="single" w:sz="6" w:space="8" w:color="003366"/>
        <w:left w:val="single" w:sz="6" w:space="8" w:color="003366"/>
        <w:bottom w:val="single" w:sz="6" w:space="8" w:color="003366"/>
        <w:right w:val="single" w:sz="6" w:space="8" w:color="003366"/>
      </w:pBdr>
      <w:shd w:val="clear" w:color="auto" w:fill="E5EAF1"/>
      <w:spacing w:before="300" w:after="300"/>
      <w:ind w:left="300" w:right="300"/>
    </w:pPr>
    <w:rPr>
      <w:rFonts w:ascii="Verdana" w:eastAsia="Times New Roman" w:hAnsi="Verdana" w:cs="Times New Roman"/>
      <w:color w:val="000000"/>
      <w:sz w:val="18"/>
      <w:szCs w:val="18"/>
    </w:rPr>
  </w:style>
  <w:style w:type="paragraph" w:styleId="z-TopofForm">
    <w:name w:val="HTML Top of Form"/>
    <w:basedOn w:val="Normal"/>
    <w:next w:val="Normal"/>
    <w:link w:val="z-TopofFormChar"/>
    <w:hidden/>
    <w:uiPriority w:val="99"/>
    <w:semiHidden/>
    <w:unhideWhenUsed/>
    <w:rsid w:val="003D46FD"/>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3D46FD"/>
    <w:rPr>
      <w:rFonts w:ascii="Arial" w:eastAsia="Times New Roman" w:hAnsi="Arial" w:cs="Arial"/>
      <w:vanish/>
      <w:sz w:val="16"/>
      <w:szCs w:val="16"/>
    </w:rPr>
  </w:style>
  <w:style w:type="character" w:customStyle="1" w:styleId="tiny1">
    <w:name w:val="tiny1"/>
    <w:basedOn w:val="DefaultParagraphFont"/>
    <w:rsid w:val="003D46FD"/>
    <w:rPr>
      <w:rFonts w:ascii="Arial" w:hAnsi="Arial" w:cs="Arial" w:hint="default"/>
      <w:sz w:val="10"/>
      <w:szCs w:val="10"/>
    </w:rPr>
  </w:style>
  <w:style w:type="paragraph" w:styleId="z-BottomofForm">
    <w:name w:val="HTML Bottom of Form"/>
    <w:basedOn w:val="Normal"/>
    <w:next w:val="Normal"/>
    <w:link w:val="z-BottomofFormChar"/>
    <w:hidden/>
    <w:uiPriority w:val="99"/>
    <w:semiHidden/>
    <w:unhideWhenUsed/>
    <w:rsid w:val="003D46FD"/>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3D46FD"/>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3D46FD"/>
    <w:rPr>
      <w:rFonts w:ascii="Tahoma" w:hAnsi="Tahoma" w:cs="Tahoma"/>
      <w:sz w:val="16"/>
      <w:szCs w:val="16"/>
    </w:rPr>
  </w:style>
  <w:style w:type="character" w:customStyle="1" w:styleId="BalloonTextChar">
    <w:name w:val="Balloon Text Char"/>
    <w:basedOn w:val="DefaultParagraphFont"/>
    <w:link w:val="BalloonText"/>
    <w:uiPriority w:val="99"/>
    <w:semiHidden/>
    <w:rsid w:val="003D46F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04353592">
      <w:bodyDiv w:val="1"/>
      <w:marLeft w:val="0"/>
      <w:marRight w:val="0"/>
      <w:marTop w:val="0"/>
      <w:marBottom w:val="0"/>
      <w:divBdr>
        <w:top w:val="none" w:sz="0" w:space="0" w:color="auto"/>
        <w:left w:val="none" w:sz="0" w:space="0" w:color="auto"/>
        <w:bottom w:val="none" w:sz="0" w:space="0" w:color="auto"/>
        <w:right w:val="none" w:sz="0" w:space="0" w:color="auto"/>
      </w:divBdr>
    </w:div>
    <w:div w:id="532034124">
      <w:bodyDiv w:val="1"/>
      <w:marLeft w:val="0"/>
      <w:marRight w:val="0"/>
      <w:marTop w:val="0"/>
      <w:marBottom w:val="0"/>
      <w:divBdr>
        <w:top w:val="none" w:sz="0" w:space="0" w:color="auto"/>
        <w:left w:val="none" w:sz="0" w:space="0" w:color="auto"/>
        <w:bottom w:val="none" w:sz="0" w:space="0" w:color="auto"/>
        <w:right w:val="none" w:sz="0" w:space="0" w:color="auto"/>
      </w:divBdr>
    </w:div>
    <w:div w:id="561216315">
      <w:bodyDiv w:val="1"/>
      <w:marLeft w:val="0"/>
      <w:marRight w:val="0"/>
      <w:marTop w:val="0"/>
      <w:marBottom w:val="0"/>
      <w:divBdr>
        <w:top w:val="none" w:sz="0" w:space="0" w:color="auto"/>
        <w:left w:val="none" w:sz="0" w:space="0" w:color="auto"/>
        <w:bottom w:val="none" w:sz="0" w:space="0" w:color="auto"/>
        <w:right w:val="none" w:sz="0" w:space="0" w:color="auto"/>
      </w:divBdr>
      <w:divsChild>
        <w:div w:id="761604223">
          <w:marLeft w:val="75"/>
          <w:marRight w:val="75"/>
          <w:marTop w:val="75"/>
          <w:marBottom w:val="75"/>
          <w:divBdr>
            <w:top w:val="none" w:sz="0" w:space="0" w:color="auto"/>
            <w:left w:val="none" w:sz="0" w:space="0" w:color="auto"/>
            <w:bottom w:val="none" w:sz="0" w:space="0" w:color="auto"/>
            <w:right w:val="none" w:sz="0" w:space="0" w:color="auto"/>
          </w:divBdr>
        </w:div>
      </w:divsChild>
    </w:div>
    <w:div w:id="647512821">
      <w:bodyDiv w:val="1"/>
      <w:marLeft w:val="0"/>
      <w:marRight w:val="0"/>
      <w:marTop w:val="0"/>
      <w:marBottom w:val="0"/>
      <w:divBdr>
        <w:top w:val="none" w:sz="0" w:space="0" w:color="auto"/>
        <w:left w:val="none" w:sz="0" w:space="0" w:color="auto"/>
        <w:bottom w:val="none" w:sz="0" w:space="0" w:color="auto"/>
        <w:right w:val="none" w:sz="0" w:space="0" w:color="auto"/>
      </w:divBdr>
    </w:div>
    <w:div w:id="751467578">
      <w:bodyDiv w:val="1"/>
      <w:marLeft w:val="0"/>
      <w:marRight w:val="0"/>
      <w:marTop w:val="0"/>
      <w:marBottom w:val="0"/>
      <w:divBdr>
        <w:top w:val="none" w:sz="0" w:space="0" w:color="auto"/>
        <w:left w:val="none" w:sz="0" w:space="0" w:color="auto"/>
        <w:bottom w:val="none" w:sz="0" w:space="0" w:color="auto"/>
        <w:right w:val="none" w:sz="0" w:space="0" w:color="auto"/>
      </w:divBdr>
    </w:div>
    <w:div w:id="844444112">
      <w:bodyDiv w:val="1"/>
      <w:marLeft w:val="0"/>
      <w:marRight w:val="0"/>
      <w:marTop w:val="0"/>
      <w:marBottom w:val="0"/>
      <w:divBdr>
        <w:top w:val="none" w:sz="0" w:space="0" w:color="auto"/>
        <w:left w:val="none" w:sz="0" w:space="0" w:color="auto"/>
        <w:bottom w:val="none" w:sz="0" w:space="0" w:color="auto"/>
        <w:right w:val="none" w:sz="0" w:space="0" w:color="auto"/>
      </w:divBdr>
    </w:div>
    <w:div w:id="908921433">
      <w:bodyDiv w:val="1"/>
      <w:marLeft w:val="0"/>
      <w:marRight w:val="0"/>
      <w:marTop w:val="0"/>
      <w:marBottom w:val="0"/>
      <w:divBdr>
        <w:top w:val="none" w:sz="0" w:space="0" w:color="auto"/>
        <w:left w:val="none" w:sz="0" w:space="0" w:color="auto"/>
        <w:bottom w:val="none" w:sz="0" w:space="0" w:color="auto"/>
        <w:right w:val="none" w:sz="0" w:space="0" w:color="auto"/>
      </w:divBdr>
    </w:div>
    <w:div w:id="1289704390">
      <w:bodyDiv w:val="1"/>
      <w:marLeft w:val="0"/>
      <w:marRight w:val="0"/>
      <w:marTop w:val="0"/>
      <w:marBottom w:val="0"/>
      <w:divBdr>
        <w:top w:val="none" w:sz="0" w:space="0" w:color="auto"/>
        <w:left w:val="none" w:sz="0" w:space="0" w:color="auto"/>
        <w:bottom w:val="none" w:sz="0" w:space="0" w:color="auto"/>
        <w:right w:val="none" w:sz="0" w:space="0" w:color="auto"/>
      </w:divBdr>
    </w:div>
    <w:div w:id="1531796024">
      <w:bodyDiv w:val="1"/>
      <w:marLeft w:val="0"/>
      <w:marRight w:val="0"/>
      <w:marTop w:val="0"/>
      <w:marBottom w:val="0"/>
      <w:divBdr>
        <w:top w:val="none" w:sz="0" w:space="0" w:color="auto"/>
        <w:left w:val="none" w:sz="0" w:space="0" w:color="auto"/>
        <w:bottom w:val="none" w:sz="0" w:space="0" w:color="auto"/>
        <w:right w:val="none" w:sz="0" w:space="0" w:color="auto"/>
      </w:divBdr>
    </w:div>
    <w:div w:id="1747264183">
      <w:bodyDiv w:val="1"/>
      <w:marLeft w:val="0"/>
      <w:marRight w:val="0"/>
      <w:marTop w:val="0"/>
      <w:marBottom w:val="0"/>
      <w:divBdr>
        <w:top w:val="none" w:sz="0" w:space="0" w:color="auto"/>
        <w:left w:val="none" w:sz="0" w:space="0" w:color="auto"/>
        <w:bottom w:val="none" w:sz="0" w:space="0" w:color="auto"/>
        <w:right w:val="none" w:sz="0" w:space="0" w:color="auto"/>
      </w:divBdr>
    </w:div>
    <w:div w:id="1835563565">
      <w:bodyDiv w:val="1"/>
      <w:marLeft w:val="0"/>
      <w:marRight w:val="0"/>
      <w:marTop w:val="0"/>
      <w:marBottom w:val="0"/>
      <w:divBdr>
        <w:top w:val="none" w:sz="0" w:space="0" w:color="auto"/>
        <w:left w:val="none" w:sz="0" w:space="0" w:color="auto"/>
        <w:bottom w:val="none" w:sz="0" w:space="0" w:color="auto"/>
        <w:right w:val="none" w:sz="0" w:space="0" w:color="auto"/>
      </w:divBdr>
    </w:div>
    <w:div w:id="1868445622">
      <w:bodyDiv w:val="1"/>
      <w:marLeft w:val="0"/>
      <w:marRight w:val="0"/>
      <w:marTop w:val="0"/>
      <w:marBottom w:val="0"/>
      <w:divBdr>
        <w:top w:val="none" w:sz="0" w:space="0" w:color="auto"/>
        <w:left w:val="none" w:sz="0" w:space="0" w:color="auto"/>
        <w:bottom w:val="none" w:sz="0" w:space="0" w:color="auto"/>
        <w:right w:val="none" w:sz="0" w:space="0" w:color="auto"/>
      </w:divBdr>
    </w:div>
    <w:div w:id="1934587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pop('_mods/t/mod_comment.cfm?type=bill&amp;FolderID=20535&amp;ObjectID=34971',600,480);" TargetMode="External"/><Relationship Id="rId13" Type="http://schemas.openxmlformats.org/officeDocument/2006/relationships/hyperlink" Target="http://apps.lobbytools.com/tools/my.cfm?a=folders&amp;b=view&amp;c=delete&amp;showcomments=none&amp;sessionid=34&amp;type=bill&amp;ID=20535&amp;lstItemID=34984&amp;viewtype=Long" TargetMode="External"/><Relationship Id="rId18" Type="http://schemas.openxmlformats.org/officeDocument/2006/relationships/hyperlink" Target="javascript:pop('_mods/t/mod_comment.cfm?type=bill&amp;FolderID=20535&amp;ObjectID=34926',600,480);" TargetMode="External"/><Relationship Id="rId26" Type="http://schemas.openxmlformats.org/officeDocument/2006/relationships/hyperlink" Target="javascript:pop('_mods/t/mod_comment.cfm?type=bill&amp;FolderID=20535&amp;ObjectID=35042',600,480);" TargetMode="External"/><Relationship Id="rId39" Type="http://schemas.openxmlformats.org/officeDocument/2006/relationships/hyperlink" Target="http://apps.lobbytools.com/tools/my.cfm?a=folders&amp;b=view&amp;c=delete&amp;showcomments=none&amp;sessionid=34&amp;type=bill&amp;ID=20535&amp;lstItemID=35085&amp;viewtype=Long" TargetMode="External"/><Relationship Id="rId3" Type="http://schemas.openxmlformats.org/officeDocument/2006/relationships/settings" Target="settings.xml"/><Relationship Id="rId21" Type="http://schemas.openxmlformats.org/officeDocument/2006/relationships/hyperlink" Target="http://apps.lobbytools.com/tools/my.cfm?a=folders&amp;b=view&amp;c=delete&amp;showcomments=none&amp;sessionid=34&amp;type=bill&amp;ID=20535&amp;lstItemID=35009&amp;viewtype=Long" TargetMode="External"/><Relationship Id="rId34" Type="http://schemas.openxmlformats.org/officeDocument/2006/relationships/hyperlink" Target="javascript:pop('_mods/t/mod_comment.cfm?type=bill&amp;FolderID=20535&amp;ObjectID=35058',600,480);" TargetMode="External"/><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hyperlink" Target="javascript:pop('_mods/t/mod_comment.cfm?type=bill&amp;FolderID=20535&amp;ObjectID=34984',600,480);" TargetMode="External"/><Relationship Id="rId17" Type="http://schemas.openxmlformats.org/officeDocument/2006/relationships/hyperlink" Target="http://apps.lobbytools.com/tools/my.cfm?a=folders&amp;b=view&amp;c=delete&amp;showcomments=none&amp;sessionid=34&amp;type=bill&amp;ID=20535&amp;lstItemID=35000&amp;viewtype=Long" TargetMode="External"/><Relationship Id="rId25" Type="http://schemas.openxmlformats.org/officeDocument/2006/relationships/hyperlink" Target="http://apps.lobbytools.com/tools/my.cfm?a=folders&amp;b=view&amp;c=delete&amp;showcomments=none&amp;sessionid=34&amp;type=bill&amp;ID=20535&amp;lstItemID=34941&amp;viewtype=Long" TargetMode="External"/><Relationship Id="rId33" Type="http://schemas.openxmlformats.org/officeDocument/2006/relationships/hyperlink" Target="http://apps.lobbytools.com/tools/my.cfm?a=folders&amp;b=view&amp;c=delete&amp;showcomments=none&amp;sessionid=34&amp;type=bill&amp;ID=20535&amp;lstItemID=35007&amp;viewtype=Long" TargetMode="External"/><Relationship Id="rId38" Type="http://schemas.openxmlformats.org/officeDocument/2006/relationships/hyperlink" Target="javascript:pop('_mods/t/mod_comment.cfm?type=bill&amp;FolderID=20535&amp;ObjectID=35085',600,480);"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javascript:pop('_mods/t/mod_comment.cfm?type=bill&amp;FolderID=20535&amp;ObjectID=35000',600,480);" TargetMode="External"/><Relationship Id="rId20" Type="http://schemas.openxmlformats.org/officeDocument/2006/relationships/hyperlink" Target="javascript:pop('_mods/t/mod_comment.cfm?type=bill&amp;FolderID=20535&amp;ObjectID=35009',600,480);" TargetMode="External"/><Relationship Id="rId29" Type="http://schemas.openxmlformats.org/officeDocument/2006/relationships/hyperlink" Target="http://apps.lobbytools.com/tools/my.cfm?a=folders&amp;b=view&amp;c=delete&amp;showcomments=none&amp;sessionid=34&amp;type=bill&amp;ID=20535&amp;lstItemID=34962&amp;viewtype=Long" TargetMode="External"/><Relationship Id="rId41"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gif"/><Relationship Id="rId24" Type="http://schemas.openxmlformats.org/officeDocument/2006/relationships/hyperlink" Target="javascript:pop('_mods/t/mod_comment.cfm?type=bill&amp;FolderID=20535&amp;ObjectID=34941',600,480);" TargetMode="External"/><Relationship Id="rId32" Type="http://schemas.openxmlformats.org/officeDocument/2006/relationships/hyperlink" Target="javascript:pop('_mods/t/mod_comment.cfm?type=bill&amp;FolderID=20535&amp;ObjectID=35007',600,480);" TargetMode="External"/><Relationship Id="rId37" Type="http://schemas.openxmlformats.org/officeDocument/2006/relationships/hyperlink" Target="http://apps.lobbytools.com/tools/my.cfm?a=folders&amp;b=view&amp;c=delete&amp;showcomments=none&amp;sessionid=34&amp;type=bill&amp;ID=20535&amp;lstItemID=35082&amp;viewtype=Long" TargetMode="External"/><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apps.lobbytools.com/tools/my.cfm?a=folders&amp;b=view&amp;c=delete&amp;showcomments=none&amp;sessionid=34&amp;type=bill&amp;ID=20535&amp;lstItemID=34989&amp;viewtype=Long" TargetMode="External"/><Relationship Id="rId23" Type="http://schemas.openxmlformats.org/officeDocument/2006/relationships/hyperlink" Target="http://apps.lobbytools.com/tools/my.cfm?a=folders&amp;b=view&amp;c=delete&amp;showcomments=none&amp;sessionid=34&amp;type=bill&amp;ID=20535&amp;lstItemID=35010&amp;viewtype=Long" TargetMode="External"/><Relationship Id="rId28" Type="http://schemas.openxmlformats.org/officeDocument/2006/relationships/hyperlink" Target="javascript:pop('_mods/t/mod_comment.cfm?type=bill&amp;FolderID=20535&amp;ObjectID=34962',600,480);" TargetMode="External"/><Relationship Id="rId36" Type="http://schemas.openxmlformats.org/officeDocument/2006/relationships/hyperlink" Target="javascript:pop('_mods/t/mod_comment.cfm?type=bill&amp;FolderID=20535&amp;ObjectID=35082',600,480);" TargetMode="External"/><Relationship Id="rId10" Type="http://schemas.openxmlformats.org/officeDocument/2006/relationships/hyperlink" Target="http://apps.lobbytools.com/tools/my.cfm?a=folders&amp;b=view&amp;c=delete&amp;showcomments=none&amp;sessionid=34&amp;type=bill&amp;ID=20535&amp;lstItemID=34971&amp;viewtype=Long" TargetMode="External"/><Relationship Id="rId19" Type="http://schemas.openxmlformats.org/officeDocument/2006/relationships/hyperlink" Target="http://apps.lobbytools.com/tools/my.cfm?a=folders&amp;b=view&amp;c=delete&amp;showcomments=none&amp;sessionid=34&amp;type=bill&amp;ID=20535&amp;lstItemID=34926&amp;viewtype=Long" TargetMode="External"/><Relationship Id="rId31" Type="http://schemas.openxmlformats.org/officeDocument/2006/relationships/hyperlink" Target="http://apps.lobbytools.com/tools/my.cfm?a=folders&amp;b=view&amp;c=delete&amp;showcomments=none&amp;sessionid=34&amp;type=bill&amp;ID=20535&amp;lstItemID=34967&amp;viewtype=Long" TargetMode="External"/><Relationship Id="rId44"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2.gif"/><Relationship Id="rId14" Type="http://schemas.openxmlformats.org/officeDocument/2006/relationships/hyperlink" Target="javascript:pop('_mods/t/mod_comment.cfm?type=bill&amp;FolderID=20535&amp;ObjectID=34989',600,480);" TargetMode="External"/><Relationship Id="rId22" Type="http://schemas.openxmlformats.org/officeDocument/2006/relationships/hyperlink" Target="javascript:pop('_mods/t/mod_comment.cfm?type=bill&amp;FolderID=20535&amp;ObjectID=35010',600,480);" TargetMode="External"/><Relationship Id="rId27" Type="http://schemas.openxmlformats.org/officeDocument/2006/relationships/hyperlink" Target="http://apps.lobbytools.com/tools/my.cfm?a=folders&amp;b=view&amp;c=delete&amp;showcomments=none&amp;sessionid=34&amp;type=bill&amp;ID=20535&amp;lstItemID=35042&amp;viewtype=Long" TargetMode="External"/><Relationship Id="rId30" Type="http://schemas.openxmlformats.org/officeDocument/2006/relationships/hyperlink" Target="javascript:pop('_mods/t/mod_comment.cfm?type=bill&amp;FolderID=20535&amp;ObjectID=34967',600,480);" TargetMode="External"/><Relationship Id="rId35" Type="http://schemas.openxmlformats.org/officeDocument/2006/relationships/hyperlink" Target="http://apps.lobbytools.com/tools/my.cfm?a=folders&amp;b=view&amp;c=delete&amp;showcomments=none&amp;sessionid=34&amp;type=bill&amp;ID=20535&amp;lstItemID=35058&amp;viewtype=Long" TargetMode="External"/><Relationship Id="rId43"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NR">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3924</Words>
  <Characters>22745</Characters>
  <Application>Microsoft Office Word</Application>
  <DocSecurity>0</DocSecurity>
  <Lines>723</Lines>
  <Paragraphs>226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26555</CharactersWithSpaces>
  <SharedDoc>false</SharedDoc>
  <HyperlinkBase>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subject>
  <dc:creator/>
  <cp:keywords> </cp:keywords>
  <dc:description> </dc:description>
  <cp:lastModifiedBy/>
  <cp:revision>1</cp:revision>
  <cp:lastPrinted>2013-01-13T20:29:00Z</cp:lastPrinted>
  <dcterms:created xsi:type="dcterms:W3CDTF">2013-01-13T20:31:00Z</dcterms:created>
  <dcterms:modified xsi:type="dcterms:W3CDTF">2013-01-13T20:31:00Z</dcterms:modified>
  <cp:category> </cp:category>
  <cp:contentStatus> </cp:contentStatus>
</cp:coreProperties>
</file>