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w:t>
      </w:r>
      <w:r w:rsidR="00074EDF">
        <w:t>s</w:t>
      </w:r>
      <w:r>
        <w:t xml:space="preserve"> of</w:t>
      </w:r>
      <w:r w:rsidR="00074EDF">
        <w:t>: October and November</w:t>
      </w:r>
      <w:r w:rsidR="006B60DD">
        <w:t xml:space="preserve"> </w:t>
      </w:r>
      <w:r w:rsidR="00944330">
        <w:t>2012</w:t>
      </w:r>
    </w:p>
    <w:p w:rsidR="00D9771C" w:rsidRDefault="00D9771C" w:rsidP="00F9535D">
      <w:pPr>
        <w:pStyle w:val="BlockText"/>
      </w:pPr>
    </w:p>
    <w:p w:rsidR="00013164" w:rsidRDefault="00D9771C" w:rsidP="00D9771C">
      <w:pPr>
        <w:pStyle w:val="BlockText"/>
        <w:rPr>
          <w:b/>
          <w:u w:val="single"/>
        </w:rPr>
      </w:pPr>
      <w:r w:rsidRPr="00D9771C">
        <w:rPr>
          <w:b/>
          <w:u w:val="single"/>
        </w:rPr>
        <w:t>Appellate Decisions:</w:t>
      </w:r>
    </w:p>
    <w:p w:rsidR="00013164" w:rsidRDefault="00013164" w:rsidP="00D9771C">
      <w:pPr>
        <w:pStyle w:val="BlockText"/>
        <w:rPr>
          <w:b/>
          <w:u w:val="single"/>
        </w:rPr>
      </w:pPr>
    </w:p>
    <w:p w:rsidR="003D6EAC" w:rsidRDefault="00074EDF" w:rsidP="00074EDF">
      <w:pPr>
        <w:pStyle w:val="BlockText"/>
        <w:ind w:firstLine="720"/>
      </w:pPr>
      <w:r>
        <w:rPr>
          <w:i/>
          <w:u w:val="single"/>
        </w:rPr>
        <w:t>Puleo and Florida Pool Finishers, Inc. v. Morris and Performance Materials, Inc.,</w:t>
      </w:r>
      <w:r>
        <w:t xml:space="preserve"> 37 Fla. L. Weekly D2317d</w:t>
      </w:r>
      <w:r w:rsidR="00BF06EC">
        <w:t xml:space="preserve">, </w:t>
      </w:r>
      <w:r>
        <w:t>Case No. 2D08-4924</w:t>
      </w:r>
      <w:r w:rsidR="00CF2DBD">
        <w:t xml:space="preserve">, </w:t>
      </w:r>
      <w:r>
        <w:t>filed on October 3</w:t>
      </w:r>
      <w:r w:rsidR="00BF06EC">
        <w:t xml:space="preserve">, 2012. </w:t>
      </w:r>
      <w:r>
        <w:t>An award of statutory attorney's fees pursuant to s. 542.335(1)(k) was successful defense of an action to enforce covenant not to complete was REVERSED and REMANED for failure of the trial court to make specific findings of reasonable number of hours and hourly rate (and other factors) when lowering the amount offered in evidence without objection.</w:t>
      </w:r>
    </w:p>
    <w:p w:rsidR="00074EDF" w:rsidRDefault="00074EDF" w:rsidP="00074EDF">
      <w:pPr>
        <w:pStyle w:val="BlockText"/>
        <w:ind w:firstLine="720"/>
      </w:pPr>
    </w:p>
    <w:p w:rsidR="001B5A99" w:rsidRDefault="003D6EAC" w:rsidP="003D6EAC">
      <w:pPr>
        <w:pStyle w:val="BlockText"/>
      </w:pPr>
      <w:r>
        <w:tab/>
      </w:r>
      <w:r w:rsidR="00074EDF">
        <w:rPr>
          <w:i/>
          <w:u w:val="single"/>
        </w:rPr>
        <w:t>Bertha Sanchez and International Restaurant Corporation v. Soleil Builders, Inc.</w:t>
      </w:r>
      <w:r>
        <w:rPr>
          <w:i/>
          <w:u w:val="single"/>
        </w:rPr>
        <w:t xml:space="preserve">, </w:t>
      </w:r>
      <w:r w:rsidR="00074EDF">
        <w:t>37 Fla. L. Weekly D2345b, Case No. 5D12-2349, filed October 5</w:t>
      </w:r>
      <w:r>
        <w:t xml:space="preserve">, 2012. </w:t>
      </w:r>
      <w:r w:rsidR="00074EDF">
        <w:t>Partial s</w:t>
      </w:r>
      <w:r w:rsidR="00F91098">
        <w:t>ummary judgment entered to foreclose</w:t>
      </w:r>
      <w:r w:rsidR="00074EDF">
        <w:t xml:space="preserve"> contractor's lien was REVERSED and REMANDED to allow the trial court to consider the owner's affirmative defenses and counterclaims</w:t>
      </w:r>
      <w:r w:rsidR="00F91098">
        <w:t xml:space="preserve"> since the contractor had failed to disprove them or establish that they were insufficient</w:t>
      </w:r>
      <w:r w:rsidR="00074EDF">
        <w:t>.</w:t>
      </w:r>
    </w:p>
    <w:p w:rsidR="00F91098" w:rsidRDefault="00F91098" w:rsidP="003D6EAC">
      <w:pPr>
        <w:pStyle w:val="BlockText"/>
      </w:pPr>
      <w:r>
        <w:t xml:space="preserve">EDITOR'S NOTE: </w:t>
      </w:r>
      <w:r w:rsidR="00913DE9">
        <w:t>Incredibly</w:t>
      </w:r>
      <w:r>
        <w:t>, the trial court had denied the owner's motion for rehearing to consider her defenses and claims, based on the contractor's argument that the summary judgment had rendered the affirmative defenses and counterclaims moot.</w:t>
      </w:r>
    </w:p>
    <w:p w:rsidR="00074EDF" w:rsidRDefault="00074EDF" w:rsidP="003D6EAC">
      <w:pPr>
        <w:pStyle w:val="BlockText"/>
      </w:pPr>
    </w:p>
    <w:p w:rsidR="00553CBE" w:rsidRDefault="001B5A99" w:rsidP="00F91098">
      <w:pPr>
        <w:pStyle w:val="BlockText"/>
      </w:pPr>
      <w:r>
        <w:tab/>
      </w:r>
      <w:r w:rsidR="00F91098">
        <w:rPr>
          <w:i/>
          <w:u w:val="single"/>
        </w:rPr>
        <w:t>Artuor Penaranda</w:t>
      </w:r>
      <w:r>
        <w:rPr>
          <w:i/>
          <w:u w:val="single"/>
        </w:rPr>
        <w:t xml:space="preserve"> &amp; </w:t>
      </w:r>
      <w:r w:rsidR="00F91098">
        <w:rPr>
          <w:i/>
          <w:u w:val="single"/>
        </w:rPr>
        <w:t>Kenneth Carter</w:t>
      </w:r>
      <w:r>
        <w:rPr>
          <w:i/>
          <w:u w:val="single"/>
        </w:rPr>
        <w:t xml:space="preserve"> v. </w:t>
      </w:r>
      <w:r w:rsidR="00F91098">
        <w:rPr>
          <w:i/>
          <w:u w:val="single"/>
        </w:rPr>
        <w:t xml:space="preserve">James Mills and </w:t>
      </w:r>
      <w:r w:rsidR="00913DE9">
        <w:rPr>
          <w:i/>
          <w:u w:val="single"/>
        </w:rPr>
        <w:t>Yolanda</w:t>
      </w:r>
      <w:r w:rsidR="00F91098">
        <w:rPr>
          <w:i/>
          <w:u w:val="single"/>
        </w:rPr>
        <w:t xml:space="preserve"> Mills</w:t>
      </w:r>
      <w:r>
        <w:rPr>
          <w:i/>
          <w:u w:val="single"/>
        </w:rPr>
        <w:t xml:space="preserve">, </w:t>
      </w:r>
      <w:r>
        <w:t>37 Fla. L. Weekly D2</w:t>
      </w:r>
      <w:r w:rsidR="00F91098">
        <w:t>391b, Case No. 5D10-2598, filed October 12</w:t>
      </w:r>
      <w:r>
        <w:t>, 2012.</w:t>
      </w:r>
      <w:r w:rsidR="005B558F">
        <w:t xml:space="preserve"> Construction contract </w:t>
      </w:r>
      <w:r w:rsidR="00F91098">
        <w:t xml:space="preserve">provided that the parties "consented" to venue in Duval County, based upon which trial court transferred the case from Seminole County to Duval County. REVERSED and REMANDED based on a finding that the contract provision </w:t>
      </w:r>
      <w:r w:rsidR="005B558F">
        <w:t xml:space="preserve">was </w:t>
      </w:r>
      <w:r w:rsidR="00F91098">
        <w:t xml:space="preserve">merely "permissive" and not mandatory. </w:t>
      </w:r>
    </w:p>
    <w:p w:rsidR="00F91098" w:rsidRDefault="00F91098" w:rsidP="00F91098">
      <w:pPr>
        <w:pStyle w:val="BlockText"/>
      </w:pPr>
      <w:r>
        <w:t xml:space="preserve">EDITOR'S NOTE: As this case demonstrates, have a non-mandatory venue </w:t>
      </w:r>
      <w:r w:rsidR="00135B1C">
        <w:t xml:space="preserve">contract </w:t>
      </w:r>
      <w:r>
        <w:t>provision is of no value.</w:t>
      </w:r>
    </w:p>
    <w:p w:rsidR="00135B1C" w:rsidRDefault="00135B1C" w:rsidP="00F91098">
      <w:pPr>
        <w:pStyle w:val="BlockText"/>
      </w:pPr>
    </w:p>
    <w:p w:rsidR="00135B1C" w:rsidRDefault="00135B1C" w:rsidP="00F91098">
      <w:pPr>
        <w:pStyle w:val="BlockText"/>
      </w:pPr>
      <w:r>
        <w:tab/>
      </w:r>
      <w:r>
        <w:rPr>
          <w:i/>
          <w:u w:val="single"/>
        </w:rPr>
        <w:t>Town of Davie v. Santana, Pasko and Quinones,</w:t>
      </w:r>
      <w:r w:rsidR="00B70EED">
        <w:t xml:space="preserve"> </w:t>
      </w:r>
      <w:r>
        <w:t>37 Fla. L. Weekly D2389c, Case Nos. D11-5696, D11-5697</w:t>
      </w:r>
      <w:r w:rsidR="00B70EED">
        <w:t xml:space="preserve"> and</w:t>
      </w:r>
      <w:r>
        <w:t xml:space="preserve"> D11-5698 (consolidated for briefi</w:t>
      </w:r>
      <w:r w:rsidR="00937943">
        <w:t>ng and opinion), filed Octo</w:t>
      </w:r>
      <w:r>
        <w:t>ber 12, 2012.</w:t>
      </w:r>
      <w:r w:rsidR="00937943">
        <w:t xml:space="preserve"> After </w:t>
      </w:r>
      <w:r w:rsidR="00B70EED">
        <w:t>administrative proceedings had been dismissed by individual petitioners and cases</w:t>
      </w:r>
      <w:r w:rsidR="00937943">
        <w:t xml:space="preserve"> </w:t>
      </w:r>
      <w:r w:rsidR="00B70EED">
        <w:t>closed with jurisdiction relinquished to Human Rights Commission, Respondent (City of Davie) filed motions for attorney's fees pursuant to s. 120.595(1)(b) [applicable where a non-prevailing party participated in the proceeding for an improper purpose].  Administrative Law Judge's denial of these motions for lack of jurisdiction was affirmed.</w:t>
      </w:r>
    </w:p>
    <w:p w:rsidR="00B70EED" w:rsidRDefault="00B70EED" w:rsidP="00F91098">
      <w:pPr>
        <w:pStyle w:val="BlockText"/>
      </w:pPr>
      <w:r>
        <w:t>EDITOR</w:t>
      </w:r>
      <w:r w:rsidR="00D64ACA">
        <w:t>'S NOTE: This case is a great example of the importance of including allegations for attorney's fees under all four (4) applicable provisions of the Florida Administrative Code (Chapter 120, F. S.), in a responsive pleading in the event the proceedings are dismissed. Had the party actually prevailed at a final hearing and in any final agency order, it likely could have filed a separate petition for fees with DOAH thereafter.</w:t>
      </w:r>
    </w:p>
    <w:p w:rsidR="00D64ACA" w:rsidRDefault="00D64ACA" w:rsidP="00F91098">
      <w:pPr>
        <w:pStyle w:val="BlockText"/>
      </w:pPr>
      <w:r>
        <w:tab/>
      </w:r>
    </w:p>
    <w:p w:rsidR="00D64ACA" w:rsidRDefault="00D64ACA" w:rsidP="00F91098">
      <w:pPr>
        <w:pStyle w:val="BlockText"/>
      </w:pPr>
      <w:r>
        <w:tab/>
      </w:r>
      <w:r>
        <w:rPr>
          <w:i/>
          <w:u w:val="single"/>
        </w:rPr>
        <w:t>First Protective Insurance Company v. Schneider Family Partnership,</w:t>
      </w:r>
      <w:r>
        <w:t xml:space="preserve"> 37 Fla. L. Weekly D2631c, Case No. 2D11-3037, filed November 14, 2012. A</w:t>
      </w:r>
      <w:r w:rsidR="00AE0C03">
        <w:t>f</w:t>
      </w:r>
      <w:r>
        <w:t xml:space="preserve">firmed that insurer was allowed to </w:t>
      </w:r>
      <w:r>
        <w:lastRenderedPageBreak/>
        <w:t xml:space="preserve">pursue its right to compel an appraisal where there was no denial of coverage, </w:t>
      </w:r>
      <w:r w:rsidR="00AE0C03">
        <w:t xml:space="preserve">but </w:t>
      </w:r>
      <w:r>
        <w:t>the amount of hurricane damages was at issue and the parties had rejected mediation requested by the insurer.</w:t>
      </w:r>
      <w:r w:rsidR="00AE0C03">
        <w:t xml:space="preserve"> See: Section 627.7015(7), Florida Statutes.</w:t>
      </w:r>
    </w:p>
    <w:p w:rsidR="00AE0C03" w:rsidRDefault="00AE0C03" w:rsidP="00F91098">
      <w:pPr>
        <w:pStyle w:val="BlockText"/>
      </w:pPr>
    </w:p>
    <w:p w:rsidR="00D9771C" w:rsidRDefault="00EB61E2" w:rsidP="00D9771C">
      <w:pPr>
        <w:pStyle w:val="BlockText"/>
      </w:pPr>
      <w:r>
        <w:rPr>
          <w:b/>
          <w:u w:val="single"/>
        </w:rPr>
        <w:t>DOAH</w:t>
      </w:r>
      <w:r w:rsidR="00D9771C" w:rsidRPr="00D9771C">
        <w:rPr>
          <w:b/>
          <w:u w:val="single"/>
        </w:rPr>
        <w:t>:</w:t>
      </w:r>
      <w:r w:rsidR="0083319A">
        <w:t xml:space="preserve"> </w:t>
      </w:r>
    </w:p>
    <w:p w:rsidR="00940447" w:rsidRDefault="00940447" w:rsidP="00D9771C">
      <w:pPr>
        <w:pStyle w:val="BlockText"/>
      </w:pPr>
    </w:p>
    <w:p w:rsidR="0060730E" w:rsidRPr="00BC5032" w:rsidRDefault="00940447" w:rsidP="00A9360E">
      <w:pPr>
        <w:pStyle w:val="BlockText"/>
        <w:rPr>
          <w:rFonts w:eastAsia="Times New Roman"/>
          <w:noProof/>
          <w:color w:val="000000"/>
        </w:rPr>
      </w:pPr>
      <w:r>
        <w:tab/>
      </w:r>
      <w:r w:rsidR="00E4082C">
        <w:t>(Nothing to report)</w:t>
      </w:r>
    </w:p>
    <w:p w:rsidR="00290B6F" w:rsidRDefault="00290B6F" w:rsidP="00F9535D">
      <w:pPr>
        <w:pStyle w:val="BlockText"/>
        <w:rPr>
          <w:b/>
          <w:u w:val="single"/>
        </w:rPr>
      </w:pPr>
    </w:p>
    <w:p w:rsidR="0098369B" w:rsidRPr="005B2CCD" w:rsidRDefault="00D9771C" w:rsidP="00F9535D">
      <w:pPr>
        <w:pStyle w:val="BlockText"/>
        <w:rPr>
          <w:b/>
        </w:rPr>
      </w:pPr>
      <w:r w:rsidRPr="00D9771C">
        <w:rPr>
          <w:b/>
          <w:u w:val="single"/>
        </w:rPr>
        <w:t>Agency Actions:</w:t>
      </w:r>
      <w:r w:rsidR="00AE4928">
        <w:rPr>
          <w:b/>
        </w:rPr>
        <w:t xml:space="preserve"> </w:t>
      </w:r>
      <w:r w:rsidR="005B2CCD">
        <w:rPr>
          <w:b/>
        </w:rPr>
        <w:t>It is important to note that t</w:t>
      </w:r>
      <w:r w:rsidR="00952158">
        <w:t>he legislature passed Chapter 2012-116</w:t>
      </w:r>
      <w:r w:rsidR="00555FBF" w:rsidRPr="003B5B30">
        <w:t>, e</w:t>
      </w:r>
      <w:r w:rsidR="00D85984" w:rsidRPr="003B5B30">
        <w:t>ffective July 1, 2012, overturning</w:t>
      </w:r>
      <w:r w:rsidR="00262A25" w:rsidRPr="003B5B30">
        <w:t xml:space="preserve"> the Florida Supreme Court decision in</w:t>
      </w:r>
      <w:r w:rsidR="00D85984" w:rsidRPr="003B5B30">
        <w:t xml:space="preserve"> </w:t>
      </w:r>
      <w:r w:rsidR="00722B80" w:rsidRPr="003B5B30">
        <w:rPr>
          <w:i/>
          <w:u w:val="single"/>
        </w:rPr>
        <w:t>Whiley v. Scott</w:t>
      </w:r>
      <w:r w:rsidR="00D85984" w:rsidRPr="003B5B30">
        <w:t xml:space="preserve"> </w:t>
      </w:r>
      <w:r w:rsidR="00D85984">
        <w:t xml:space="preserve">by </w:t>
      </w:r>
      <w:r w:rsidR="00D85984" w:rsidRPr="00D85984">
        <w:t>confirming the Governor’s authority to require</w:t>
      </w:r>
      <w:r w:rsidR="009A1012" w:rsidRPr="00D85984">
        <w:t xml:space="preserve"> agencies and boards </w:t>
      </w:r>
      <w:r w:rsidR="00D85984" w:rsidRPr="00D85984">
        <w:t>to “freeze” rule making</w:t>
      </w:r>
      <w:r w:rsidR="00D85984">
        <w:t xml:space="preserve">, </w:t>
      </w:r>
      <w:r w:rsidR="00D85984" w:rsidRPr="00D85984">
        <w:rPr>
          <w:rFonts w:asciiTheme="majorHAnsi" w:hAnsiTheme="majorHAnsi" w:cstheme="majorHAnsi"/>
        </w:rPr>
        <w:t>a</w:t>
      </w:r>
      <w:r w:rsidR="00D85984">
        <w:rPr>
          <w:rFonts w:asciiTheme="majorHAnsi" w:eastAsia="Times New Roman" w:hAnsiTheme="majorHAnsi" w:cstheme="majorHAnsi"/>
        </w:rPr>
        <w:t>ffirming</w:t>
      </w:r>
      <w:r w:rsidR="00D85984" w:rsidRPr="00D85984">
        <w:rPr>
          <w:rFonts w:asciiTheme="majorHAnsi" w:eastAsia="Times New Roman" w:hAnsiTheme="majorHAnsi" w:cstheme="majorHAnsi"/>
        </w:rPr>
        <w:t xml:space="preserve"> that Executive Orders 11-72 &amp; 11-211</w:t>
      </w:r>
      <w:r w:rsidR="009B2454">
        <w:rPr>
          <w:rFonts w:asciiTheme="majorHAnsi" w:eastAsia="Times New Roman" w:hAnsiTheme="majorHAnsi" w:cstheme="majorHAnsi"/>
        </w:rPr>
        <w:t>, creating the Governor's Office of Fiscal Accountability and Regulatory Reform ("OFFAR"),</w:t>
      </w:r>
      <w:r w:rsidR="00D85984" w:rsidRPr="00D85984">
        <w:rPr>
          <w:rFonts w:asciiTheme="majorHAnsi" w:eastAsia="Times New Roman" w:hAnsiTheme="majorHAnsi" w:cstheme="majorHAnsi"/>
        </w:rPr>
        <w:t xml:space="preserve">are consistent with law &amp; public policy of this state, and </w:t>
      </w:r>
      <w:r w:rsidR="00D85984">
        <w:rPr>
          <w:rFonts w:asciiTheme="majorHAnsi" w:eastAsia="Times New Roman" w:hAnsiTheme="majorHAnsi" w:cstheme="majorHAnsi"/>
        </w:rPr>
        <w:t>providing</w:t>
      </w:r>
      <w:r w:rsidR="00D85984" w:rsidRPr="00D85984">
        <w:rPr>
          <w:rFonts w:asciiTheme="majorHAnsi" w:eastAsia="Times New Roman" w:hAnsiTheme="majorHAnsi" w:cstheme="majorHAnsi"/>
        </w:rPr>
        <w:t xml:space="preserve"> for removal of duplicative, redundant, or unused rulemaking authority</w:t>
      </w:r>
      <w:r w:rsidR="00D85984">
        <w:rPr>
          <w:rFonts w:asciiTheme="majorHAnsi" w:eastAsia="Times New Roman" w:hAnsiTheme="majorHAnsi" w:cstheme="majorHAnsi"/>
        </w:rPr>
        <w:t>.</w:t>
      </w:r>
      <w:r w:rsidR="00AE0C03">
        <w:rPr>
          <w:rFonts w:asciiTheme="majorHAnsi" w:eastAsia="Times New Roman" w:hAnsiTheme="majorHAnsi" w:cstheme="majorHAnsi"/>
        </w:rPr>
        <w:t xml:space="preserve"> As a direct result, all </w:t>
      </w:r>
      <w:r w:rsidR="00952158">
        <w:rPr>
          <w:rFonts w:asciiTheme="majorHAnsi" w:eastAsia="Times New Roman" w:hAnsiTheme="majorHAnsi" w:cstheme="majorHAnsi"/>
        </w:rPr>
        <w:t xml:space="preserve">new </w:t>
      </w:r>
      <w:r w:rsidR="00AE0C03">
        <w:rPr>
          <w:rFonts w:asciiTheme="majorHAnsi" w:eastAsia="Times New Roman" w:hAnsiTheme="majorHAnsi" w:cstheme="majorHAnsi"/>
        </w:rPr>
        <w:t xml:space="preserve">proposed rules </w:t>
      </w:r>
      <w:r w:rsidR="00952158">
        <w:rPr>
          <w:rFonts w:asciiTheme="majorHAnsi" w:eastAsia="Times New Roman" w:hAnsiTheme="majorHAnsi" w:cstheme="majorHAnsi"/>
        </w:rPr>
        <w:t xml:space="preserve">and amendments to rules </w:t>
      </w:r>
      <w:r w:rsidR="00AE0C03">
        <w:rPr>
          <w:rFonts w:asciiTheme="majorHAnsi" w:eastAsia="Times New Roman" w:hAnsiTheme="majorHAnsi" w:cstheme="majorHAnsi"/>
        </w:rPr>
        <w:t xml:space="preserve">must now be submitted </w:t>
      </w:r>
      <w:r w:rsidR="009B2454">
        <w:rPr>
          <w:rFonts w:asciiTheme="majorHAnsi" w:eastAsia="Times New Roman" w:hAnsiTheme="majorHAnsi" w:cstheme="majorHAnsi"/>
        </w:rPr>
        <w:t xml:space="preserve">to OFFAR </w:t>
      </w:r>
      <w:r w:rsidR="00AE0C03">
        <w:rPr>
          <w:rFonts w:asciiTheme="majorHAnsi" w:eastAsia="Times New Roman" w:hAnsiTheme="majorHAnsi" w:cstheme="majorHAnsi"/>
        </w:rPr>
        <w:t xml:space="preserve">prior to becoming effective. </w:t>
      </w:r>
    </w:p>
    <w:p w:rsidR="00D85984" w:rsidRDefault="00D85984" w:rsidP="00F9535D">
      <w:pPr>
        <w:pStyle w:val="BlockText"/>
      </w:pPr>
    </w:p>
    <w:p w:rsidR="00CA1872" w:rsidRDefault="00F21394" w:rsidP="00305FDE">
      <w:pPr>
        <w:pStyle w:val="BlockText"/>
        <w:numPr>
          <w:ilvl w:val="0"/>
          <w:numId w:val="30"/>
        </w:numPr>
      </w:pPr>
      <w:r>
        <w:rPr>
          <w:b/>
        </w:rPr>
        <w:t xml:space="preserve">Department of </w:t>
      </w:r>
      <w:r w:rsidR="0098369B" w:rsidRPr="0098369B">
        <w:rPr>
          <w:b/>
        </w:rPr>
        <w:t>Business and Professional Regulation</w:t>
      </w:r>
      <w:r w:rsidR="00305FDE">
        <w:rPr>
          <w:b/>
        </w:rPr>
        <w:t>.</w:t>
      </w:r>
    </w:p>
    <w:p w:rsidR="00305FDE" w:rsidRDefault="00305FDE" w:rsidP="00305FDE">
      <w:pPr>
        <w:pStyle w:val="BlockText"/>
        <w:ind w:left="720"/>
      </w:pPr>
    </w:p>
    <w:p w:rsidR="00936542" w:rsidRDefault="00F9535D" w:rsidP="00A57777">
      <w:pPr>
        <w:pStyle w:val="BlockText"/>
        <w:numPr>
          <w:ilvl w:val="0"/>
          <w:numId w:val="32"/>
        </w:numPr>
        <w:rPr>
          <w:b/>
        </w:rPr>
      </w:pPr>
      <w:r w:rsidRPr="00936542">
        <w:rPr>
          <w:u w:val="single"/>
        </w:rPr>
        <w:t>Constru</w:t>
      </w:r>
      <w:r w:rsidR="00CA1872" w:rsidRPr="00936542">
        <w:rPr>
          <w:u w:val="single"/>
        </w:rPr>
        <w:t>ction Industry Licensing Board</w:t>
      </w:r>
      <w:r w:rsidR="00CA1872">
        <w:t xml:space="preserve"> – Chapter 489, Part I, </w:t>
      </w:r>
      <w:r w:rsidR="00EB0314">
        <w:t xml:space="preserve">FS </w:t>
      </w:r>
      <w:r w:rsidR="00CA1872">
        <w:t xml:space="preserve">and </w:t>
      </w:r>
      <w:r w:rsidR="00EB0314">
        <w:t xml:space="preserve">Chapter </w:t>
      </w:r>
      <w:r w:rsidR="00CA1872">
        <w:t>61G4 FAC</w:t>
      </w:r>
      <w:r w:rsidR="00F17078">
        <w:t>:</w:t>
      </w:r>
      <w:r w:rsidR="00AF4CC5">
        <w:t xml:space="preserve"> </w:t>
      </w:r>
    </w:p>
    <w:p w:rsidR="002F16B3" w:rsidRPr="002F16B3" w:rsidRDefault="002F16B3" w:rsidP="00A57777">
      <w:pPr>
        <w:pStyle w:val="BlockText"/>
        <w:numPr>
          <w:ilvl w:val="0"/>
          <w:numId w:val="32"/>
        </w:numPr>
        <w:rPr>
          <w:b/>
        </w:rPr>
      </w:pPr>
    </w:p>
    <w:p w:rsidR="00E4082C" w:rsidRDefault="008B06DE" w:rsidP="00107362">
      <w:pPr>
        <w:pStyle w:val="BlockText"/>
        <w:numPr>
          <w:ilvl w:val="1"/>
          <w:numId w:val="32"/>
        </w:numPr>
      </w:pPr>
      <w:r>
        <w:t>This board proposed to adopt</w:t>
      </w:r>
      <w:r w:rsidR="00055700">
        <w:t xml:space="preserve"> </w:t>
      </w:r>
      <w:r w:rsidR="004A5613">
        <w:t xml:space="preserve">or amend </w:t>
      </w:r>
      <w:r>
        <w:t>the following rules</w:t>
      </w:r>
      <w:r w:rsidR="00927EF0">
        <w:t xml:space="preserve"> (if any):</w:t>
      </w:r>
    </w:p>
    <w:p w:rsidR="009B2454" w:rsidRDefault="009B2454" w:rsidP="009B2454">
      <w:pPr>
        <w:pStyle w:val="BlockText"/>
        <w:ind w:left="1800"/>
      </w:pPr>
    </w:p>
    <w:p w:rsidR="009B2454" w:rsidRDefault="000E6D1A" w:rsidP="009B2454">
      <w:pPr>
        <w:pStyle w:val="BlockText"/>
        <w:numPr>
          <w:ilvl w:val="2"/>
          <w:numId w:val="32"/>
        </w:numPr>
      </w:pPr>
      <w:r>
        <w:t>61G4-12.01</w:t>
      </w:r>
      <w:r w:rsidR="009B2454">
        <w:t>1(8), amending the definition of "Services incidental thereto</w:t>
      </w:r>
      <w:r>
        <w:t>,</w:t>
      </w:r>
      <w:r w:rsidR="009B2454">
        <w:t>"</w:t>
      </w:r>
    </w:p>
    <w:p w:rsidR="009B2454" w:rsidRDefault="000E6D1A" w:rsidP="009B2454">
      <w:pPr>
        <w:pStyle w:val="BlockText"/>
        <w:ind w:left="2520"/>
      </w:pPr>
      <w:r>
        <w:t xml:space="preserve">regarding </w:t>
      </w:r>
      <w:r w:rsidR="009B2454">
        <w:t xml:space="preserve">the licensure exemption under s. 489.103(1), F. S., </w:t>
      </w:r>
      <w:r>
        <w:t>for</w:t>
      </w:r>
      <w:r w:rsidR="009B2454">
        <w:t xml:space="preserve"> transportation projects.</w:t>
      </w:r>
    </w:p>
    <w:p w:rsidR="009B2454" w:rsidRDefault="009B2454" w:rsidP="009B2454">
      <w:pPr>
        <w:pStyle w:val="BlockText"/>
        <w:ind w:left="2520"/>
      </w:pPr>
    </w:p>
    <w:p w:rsidR="009B2454" w:rsidRDefault="009B2454" w:rsidP="009B2454">
      <w:pPr>
        <w:pStyle w:val="BlockText"/>
        <w:numPr>
          <w:ilvl w:val="2"/>
          <w:numId w:val="32"/>
        </w:numPr>
      </w:pPr>
      <w:r>
        <w:t>61G4-15.035, creating Certified Irrigation Specialty Con</w:t>
      </w:r>
      <w:r w:rsidR="007F6E51">
        <w:t>tractors</w:t>
      </w:r>
      <w:r>
        <w:t xml:space="preserve">, with scope of work to start downstream of the backflow </w:t>
      </w:r>
      <w:r w:rsidR="00A23BA0">
        <w:t>preventer</w:t>
      </w:r>
      <w:r w:rsidR="00FF1E9C">
        <w:t xml:space="preserve"> (i.e., so as not to adversely affect the potable water supply)</w:t>
      </w:r>
      <w:r>
        <w:t>.</w:t>
      </w:r>
    </w:p>
    <w:p w:rsidR="009B2454" w:rsidRDefault="009B2454" w:rsidP="009B2454">
      <w:pPr>
        <w:pStyle w:val="BlockText"/>
        <w:ind w:left="2520"/>
      </w:pPr>
    </w:p>
    <w:p w:rsidR="009B2454" w:rsidRDefault="009B2454" w:rsidP="009B2454">
      <w:pPr>
        <w:pStyle w:val="BlockText"/>
        <w:numPr>
          <w:ilvl w:val="2"/>
          <w:numId w:val="32"/>
        </w:numPr>
      </w:pPr>
      <w:r>
        <w:t>61G4-15.03</w:t>
      </w:r>
      <w:r w:rsidR="00FF1E9C">
        <w:t>8</w:t>
      </w:r>
      <w:r>
        <w:t>, creating Certified Demolition Specialty Co</w:t>
      </w:r>
      <w:r w:rsidR="007F6E51">
        <w:t>ntractors</w:t>
      </w:r>
      <w:r>
        <w:t xml:space="preserve">, based on the statutory change </w:t>
      </w:r>
      <w:r w:rsidR="00E576B4">
        <w:t xml:space="preserve">in the </w:t>
      </w:r>
      <w:r w:rsidR="007F6E51">
        <w:t xml:space="preserve">statutory </w:t>
      </w:r>
      <w:r w:rsidR="00E576B4">
        <w:t xml:space="preserve">definition, effective July 1, 2012, </w:t>
      </w:r>
      <w:r>
        <w:t>which repealed the height limitation previously exempt from licensure for such work.</w:t>
      </w:r>
    </w:p>
    <w:p w:rsidR="009B2454" w:rsidRDefault="009B2454" w:rsidP="009B2454">
      <w:pPr>
        <w:pStyle w:val="BlockText"/>
        <w:ind w:left="2520"/>
      </w:pPr>
    </w:p>
    <w:p w:rsidR="009B2454" w:rsidRDefault="009B2454" w:rsidP="009B2454">
      <w:pPr>
        <w:pStyle w:val="BlockText"/>
        <w:numPr>
          <w:ilvl w:val="2"/>
          <w:numId w:val="32"/>
        </w:numPr>
      </w:pPr>
      <w:r>
        <w:t>Rule 61G4-18.001</w:t>
      </w:r>
      <w:r w:rsidR="00FF1E9C">
        <w:t>(3)(g)</w:t>
      </w:r>
      <w:r>
        <w:t xml:space="preserve">, </w:t>
      </w:r>
      <w:r w:rsidR="00FF1E9C">
        <w:t>amending continuing educational requirements for wind resistance for one and two family dwellings in accordance with the Florida Building Code, effective October 23, 2012.</w:t>
      </w:r>
    </w:p>
    <w:p w:rsidR="00A9360E" w:rsidRDefault="00A9360E" w:rsidP="001F01B4">
      <w:pPr>
        <w:pStyle w:val="BlockText"/>
      </w:pPr>
    </w:p>
    <w:p w:rsidR="00520F5E" w:rsidRDefault="008714D7" w:rsidP="00107362">
      <w:pPr>
        <w:pStyle w:val="BlockText"/>
        <w:numPr>
          <w:ilvl w:val="1"/>
          <w:numId w:val="32"/>
        </w:numPr>
      </w:pPr>
      <w:r>
        <w:t>This Board proposes to r</w:t>
      </w:r>
      <w:r w:rsidR="00425FE8">
        <w:t xml:space="preserve">epeal </w:t>
      </w:r>
      <w:r>
        <w:t>the following rules (if any):</w:t>
      </w:r>
      <w:r w:rsidR="00103CDF">
        <w:t xml:space="preserve"> None.</w:t>
      </w:r>
    </w:p>
    <w:p w:rsidR="00520F5E" w:rsidRDefault="00520F5E" w:rsidP="00BD1D69">
      <w:pPr>
        <w:pStyle w:val="BlockText"/>
      </w:pPr>
    </w:p>
    <w:p w:rsidR="00A3799B" w:rsidRDefault="008B06DE" w:rsidP="00A3799B">
      <w:pPr>
        <w:pStyle w:val="BlockText"/>
        <w:numPr>
          <w:ilvl w:val="1"/>
          <w:numId w:val="32"/>
        </w:numPr>
      </w:pPr>
      <w:r>
        <w:t>This</w:t>
      </w:r>
      <w:r w:rsidR="00722B80">
        <w:t xml:space="preserve"> board </w:t>
      </w:r>
      <w:r>
        <w:t>has received</w:t>
      </w:r>
      <w:r w:rsidR="002F015B">
        <w:t xml:space="preserve"> </w:t>
      </w:r>
      <w:r w:rsidR="00555FBF">
        <w:t xml:space="preserve">or disposed of </w:t>
      </w:r>
      <w:r>
        <w:t>the following Petitions for Declaratory Statement</w:t>
      </w:r>
      <w:r w:rsidR="00927EF0">
        <w:t xml:space="preserve"> (if any)</w:t>
      </w:r>
      <w:r w:rsidR="00A3799B">
        <w:t>:</w:t>
      </w:r>
    </w:p>
    <w:p w:rsidR="00E71BDF" w:rsidRDefault="00E71BDF" w:rsidP="00E71BDF">
      <w:pPr>
        <w:pStyle w:val="BlockText"/>
        <w:ind w:left="1800"/>
      </w:pPr>
    </w:p>
    <w:p w:rsidR="007F6E51" w:rsidRDefault="007F6E51" w:rsidP="007F6E51">
      <w:pPr>
        <w:pStyle w:val="BlockText"/>
        <w:numPr>
          <w:ilvl w:val="2"/>
          <w:numId w:val="32"/>
        </w:numPr>
      </w:pPr>
      <w:r>
        <w:t xml:space="preserve">Pete Quintella, City of Miami Beach Building Department, filed on July 23, 2012, whether it is within the scope of a Class B Air Conditioning </w:t>
      </w:r>
      <w:r>
        <w:lastRenderedPageBreak/>
        <w:t>Contractor's license to replace a 2 ton water cooled heat pump unit</w:t>
      </w:r>
      <w:r w:rsidR="00E71BDF">
        <w:t xml:space="preserve"> piped directly to the riser of a 500 ton water cooling tower or to replace shut-off values connected to the riser, was taken up on September 14, 2012 and Declaratory Statement was issued on October 19, 2012, in the negative. </w:t>
      </w:r>
    </w:p>
    <w:p w:rsidR="00E71BDF" w:rsidRDefault="00E71BDF" w:rsidP="00E71BDF">
      <w:pPr>
        <w:pStyle w:val="BlockText"/>
        <w:ind w:left="2520"/>
      </w:pPr>
    </w:p>
    <w:p w:rsidR="00E71BDF" w:rsidRDefault="00E71BDF" w:rsidP="00E71BDF">
      <w:pPr>
        <w:pStyle w:val="BlockText"/>
        <w:numPr>
          <w:ilvl w:val="2"/>
          <w:numId w:val="32"/>
        </w:numPr>
      </w:pPr>
      <w:r>
        <w:t>Hoar Construction, LLC, filed on August 20, 2012, whether Rule 61G4-15.0022 allows joint ventures that include at least one (1) qualified contractor to first obtain bid authority before it can present a response to an RFQ that contains no construction lost or compensation information, was taken up on September 14, 2012, and Declaratory Statement was issued on October 19, 2012, in the negative.</w:t>
      </w:r>
    </w:p>
    <w:p w:rsidR="00A3799B" w:rsidRDefault="00A3799B" w:rsidP="00A3799B">
      <w:pPr>
        <w:pStyle w:val="ListParagraph"/>
      </w:pPr>
    </w:p>
    <w:p w:rsidR="00A3799B" w:rsidRDefault="001F01B4" w:rsidP="007F6E51">
      <w:pPr>
        <w:pStyle w:val="BlockText"/>
        <w:numPr>
          <w:ilvl w:val="2"/>
          <w:numId w:val="32"/>
        </w:numPr>
      </w:pPr>
      <w:r>
        <w:t>Robert K. Eddy, Esq., filed on August 24</w:t>
      </w:r>
      <w:r w:rsidR="00A3799B">
        <w:t xml:space="preserve">, 2012, regarding licensure requirements, </w:t>
      </w:r>
      <w:r>
        <w:t>regarding whether section 489.105(3)(n) requires an underground and utility contractor’s license to provide water, server and storm water collection services contained in an attached bid contract.</w:t>
      </w:r>
      <w:r w:rsidR="00A3799B">
        <w:t>uch as Underground Utility Contractor, for bidding on underground water metering utility projects</w:t>
      </w:r>
      <w:r w:rsidR="007F6E51">
        <w:t>, was taken up on October 12, 2012 and Order was issued on November 2, 2012, denying the petition for lack of standing, apparent pending litigation and relating to prior conduct.</w:t>
      </w:r>
    </w:p>
    <w:p w:rsidR="005F770C" w:rsidRDefault="005F770C" w:rsidP="005F770C">
      <w:pPr>
        <w:pStyle w:val="BlockText"/>
      </w:pPr>
    </w:p>
    <w:p w:rsidR="005F770C" w:rsidRDefault="005F770C" w:rsidP="007F6E51">
      <w:pPr>
        <w:pStyle w:val="BlockText"/>
        <w:numPr>
          <w:ilvl w:val="2"/>
          <w:numId w:val="32"/>
        </w:numPr>
      </w:pPr>
      <w:r>
        <w:t>Edward Jarriel, Jr., filed on September 10, 2012, regarding the applicability of section 489.105(3)(n) to the installation of a backflow prevention device on the consumer side of a main water distribution system for a single family dwelling and the whether an underground utility contractor’s license was required</w:t>
      </w:r>
      <w:r w:rsidR="007F6E51">
        <w:t>, was taken up on October 12, 2012 and Order was issued on November 2, 2012, denying the petition for lack of standing and relating to prior conduct.</w:t>
      </w:r>
    </w:p>
    <w:p w:rsidR="005F770C" w:rsidRDefault="005F770C" w:rsidP="005F770C">
      <w:pPr>
        <w:pStyle w:val="BlockText"/>
      </w:pPr>
    </w:p>
    <w:p w:rsidR="005F770C" w:rsidRDefault="005F770C" w:rsidP="00A3799B">
      <w:pPr>
        <w:pStyle w:val="BlockText"/>
        <w:numPr>
          <w:ilvl w:val="2"/>
          <w:numId w:val="32"/>
        </w:numPr>
      </w:pPr>
      <w:r>
        <w:t>Artesian Pools, filed on September 19, 2012, regarding section 489.113(9)(b)2., whether a contractor may submit his or her own site specific drawings, specifications and plans for permitting swimming pools, spars or screened enclosures not exceeding 1,200 square feet or one story in height without using a licensed architect or engineer</w:t>
      </w:r>
      <w:r w:rsidR="007F6E51">
        <w:t>, was taken up on October 12, 2012 and Declaratory Statement issued on November 2, 2012, in the affirmative</w:t>
      </w:r>
      <w:r>
        <w:t>.</w:t>
      </w:r>
    </w:p>
    <w:p w:rsidR="00E71BDF" w:rsidRDefault="00E71BDF" w:rsidP="00E71BDF">
      <w:pPr>
        <w:pStyle w:val="BlockText"/>
        <w:ind w:left="2520"/>
      </w:pPr>
    </w:p>
    <w:p w:rsidR="00E71BDF" w:rsidRDefault="00E71BDF" w:rsidP="00A3799B">
      <w:pPr>
        <w:pStyle w:val="BlockText"/>
        <w:numPr>
          <w:ilvl w:val="2"/>
          <w:numId w:val="32"/>
        </w:numPr>
      </w:pPr>
      <w:r>
        <w:t>Dennis J. Haggerty, filed on September 26, 2012, whether s. 489.105 requires a license for work on medium, low and ultralow</w:t>
      </w:r>
      <w:r w:rsidR="00C00519">
        <w:t xml:space="preserve"> temperature equipment located in hospitals, laboratories, research facilities, and highly specialized cooling equipment for the U. S. Government, was taken up on November 16, 2012, and found to do so unless it was self-contained, plugged in and not part of the structure (other than hardwiring by a license electrician. Note: A Declaratory Statement has not yet been issued in this matter.</w:t>
      </w:r>
    </w:p>
    <w:p w:rsidR="00C00519" w:rsidRDefault="00C00519" w:rsidP="00C00519">
      <w:pPr>
        <w:pStyle w:val="BlockText"/>
        <w:ind w:left="2520"/>
      </w:pPr>
    </w:p>
    <w:p w:rsidR="00C00519" w:rsidRDefault="00C00519" w:rsidP="00C00519">
      <w:pPr>
        <w:pStyle w:val="BlockText"/>
        <w:numPr>
          <w:ilvl w:val="2"/>
          <w:numId w:val="32"/>
        </w:numPr>
        <w:ind w:left="2340"/>
      </w:pPr>
      <w:r>
        <w:t>Lightning Investigations, filed on October 2, 2012, whether s. 489.105 requires a license for technicians investigating the cause and origin of damage to HVAC units and to prepare written reports of their findings, was taken up on November 16, 2012, and the board determined that the petitioner had standing and that a license would not be required is the inspection was visional only but would be required if the access panel was removed. Note: A Declaratory Statement has not yet been issued in this matter.</w:t>
      </w:r>
    </w:p>
    <w:p w:rsidR="004B196B" w:rsidRDefault="004B196B" w:rsidP="004B196B">
      <w:pPr>
        <w:pStyle w:val="BlockText"/>
      </w:pPr>
    </w:p>
    <w:p w:rsidR="004B196B" w:rsidRDefault="008B06DE" w:rsidP="004B196B">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FA5090">
        <w:t xml:space="preserve"> </w:t>
      </w:r>
      <w:r w:rsidR="002F16B3">
        <w:t>None.</w:t>
      </w:r>
    </w:p>
    <w:p w:rsidR="00B901A9" w:rsidRDefault="00B901A9" w:rsidP="00B901A9">
      <w:pPr>
        <w:pStyle w:val="BlockText"/>
        <w:ind w:left="1800"/>
      </w:pPr>
    </w:p>
    <w:p w:rsidR="00555FBF" w:rsidRDefault="00555FBF" w:rsidP="00DF0B84">
      <w:pPr>
        <w:jc w:val="both"/>
      </w:pPr>
    </w:p>
    <w:p w:rsidR="00172C04" w:rsidRDefault="00F9535D" w:rsidP="005B212C">
      <w:pPr>
        <w:pStyle w:val="BlockText"/>
        <w:numPr>
          <w:ilvl w:val="0"/>
          <w:numId w:val="32"/>
        </w:numPr>
      </w:pPr>
      <w:r w:rsidRPr="003C50CC">
        <w:rPr>
          <w:u w:val="single"/>
        </w:rPr>
        <w:t>Electric</w:t>
      </w:r>
      <w:r w:rsidR="00CA1872" w:rsidRPr="003C50CC">
        <w:rPr>
          <w:u w:val="single"/>
        </w:rPr>
        <w:t>al Contracting Licensing Board</w:t>
      </w:r>
      <w:r w:rsidR="00305FDE">
        <w:t xml:space="preserve"> (includes both electricians and alarm contractors)</w:t>
      </w:r>
      <w:r w:rsidR="00CA1872">
        <w:t xml:space="preserve"> </w:t>
      </w:r>
      <w:r w:rsidR="00DA5E85">
        <w:t>– Chapter 489, Part II</w:t>
      </w:r>
      <w:r w:rsidR="009A1012">
        <w:t>, FS and 61G6, FAC</w:t>
      </w:r>
      <w:r w:rsidR="00DA5E85">
        <w:t>:</w:t>
      </w:r>
      <w:r w:rsidR="00E311DC">
        <w:t xml:space="preserve"> </w:t>
      </w:r>
      <w:r w:rsidR="00AE4928">
        <w:t xml:space="preserve"> </w:t>
      </w:r>
    </w:p>
    <w:p w:rsidR="008B06DE" w:rsidRDefault="008B06DE" w:rsidP="008B06DE">
      <w:pPr>
        <w:pStyle w:val="BlockText"/>
        <w:ind w:left="1080"/>
        <w:rPr>
          <w:u w:val="single"/>
        </w:rPr>
      </w:pPr>
    </w:p>
    <w:p w:rsidR="0045543B" w:rsidRDefault="008B06DE" w:rsidP="0045543B">
      <w:pPr>
        <w:pStyle w:val="BlockText"/>
        <w:numPr>
          <w:ilvl w:val="1"/>
          <w:numId w:val="32"/>
        </w:numPr>
      </w:pPr>
      <w:r>
        <w:t xml:space="preserve">This board proposed to adopt </w:t>
      </w:r>
      <w:r w:rsidR="00927EF0">
        <w:t xml:space="preserve">or amend </w:t>
      </w:r>
      <w:r>
        <w:t>the following rules</w:t>
      </w:r>
      <w:r w:rsidR="00F60C95">
        <w:t xml:space="preserve"> (if any)</w:t>
      </w:r>
      <w:r w:rsidR="008714D7">
        <w:t>:</w:t>
      </w:r>
      <w:r w:rsidR="002F16B3">
        <w:t xml:space="preserve"> None.</w:t>
      </w:r>
    </w:p>
    <w:p w:rsidR="00520F5E" w:rsidRDefault="00520F5E" w:rsidP="004A0671">
      <w:pPr>
        <w:pStyle w:val="BlockText"/>
      </w:pPr>
    </w:p>
    <w:p w:rsidR="008714D7" w:rsidRDefault="008714D7" w:rsidP="008714D7">
      <w:pPr>
        <w:pStyle w:val="BlockText"/>
        <w:numPr>
          <w:ilvl w:val="1"/>
          <w:numId w:val="32"/>
        </w:numPr>
      </w:pPr>
      <w:r>
        <w:t>This Board proposes to repeal the following rules (if any):</w:t>
      </w:r>
      <w:r w:rsidR="002D1599">
        <w:t xml:space="preserve"> None.</w:t>
      </w:r>
    </w:p>
    <w:p w:rsidR="008714D7" w:rsidRDefault="008714D7" w:rsidP="008714D7">
      <w:pPr>
        <w:pStyle w:val="ListParagraph"/>
      </w:pPr>
    </w:p>
    <w:p w:rsidR="00555FBF" w:rsidRDefault="008B06DE" w:rsidP="004A0671">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t>:</w:t>
      </w:r>
      <w:r w:rsidR="00A9360E">
        <w:t xml:space="preserve"> </w:t>
      </w:r>
      <w:r w:rsidR="0045543B">
        <w:t>None.</w:t>
      </w:r>
    </w:p>
    <w:p w:rsidR="00055700" w:rsidRDefault="00055700" w:rsidP="00055700">
      <w:pPr>
        <w:pStyle w:val="ListParagraph"/>
      </w:pPr>
    </w:p>
    <w:p w:rsidR="00555FBF" w:rsidRDefault="008B06DE" w:rsidP="00DF0B84">
      <w:pPr>
        <w:pStyle w:val="BlockText"/>
        <w:numPr>
          <w:ilvl w:val="1"/>
          <w:numId w:val="32"/>
        </w:numPr>
      </w:pPr>
      <w:r>
        <w:t xml:space="preserve">This board has received </w:t>
      </w:r>
      <w:r w:rsidR="00555FBF">
        <w:t xml:space="preserve">or disposed of </w:t>
      </w:r>
      <w:r>
        <w:t>the following P</w:t>
      </w:r>
      <w:r w:rsidR="00927EF0">
        <w:t>etitions</w:t>
      </w:r>
      <w:r w:rsidR="002F16B3">
        <w:t xml:space="preserve"> for Variance or Waiver </w:t>
      </w:r>
      <w:r w:rsidR="00927EF0">
        <w:t>:</w:t>
      </w:r>
      <w:r w:rsidR="00DF0B84">
        <w:t xml:space="preserve"> </w:t>
      </w:r>
      <w:r w:rsidR="002F16B3">
        <w:t xml:space="preserve"> John B. Derrick, filed on November 2, 2012, seeking a waiver from Ruled 61G6-6.017, requiring for certification a passing examination score on any part of the exam shall be valid only for a period of two (2) years from the date of examination.</w:t>
      </w:r>
    </w:p>
    <w:p w:rsidR="00B901A9" w:rsidRDefault="00B901A9" w:rsidP="00B901A9">
      <w:pPr>
        <w:pStyle w:val="BlockText"/>
        <w:ind w:left="1800"/>
      </w:pPr>
    </w:p>
    <w:p w:rsidR="0045543B" w:rsidRDefault="0045543B" w:rsidP="0045543B">
      <w:pPr>
        <w:pStyle w:val="ListParagraph"/>
      </w:pPr>
    </w:p>
    <w:p w:rsidR="003C50CC" w:rsidRDefault="00F9535D" w:rsidP="00D532DF">
      <w:pPr>
        <w:pStyle w:val="BlockText"/>
        <w:numPr>
          <w:ilvl w:val="0"/>
          <w:numId w:val="32"/>
        </w:numPr>
      </w:pPr>
      <w:r w:rsidRPr="00CF2384">
        <w:rPr>
          <w:u w:val="single"/>
        </w:rPr>
        <w:t>Board of Ar</w:t>
      </w:r>
      <w:r w:rsidR="00CA1872" w:rsidRPr="00CF2384">
        <w:rPr>
          <w:u w:val="single"/>
        </w:rPr>
        <w:t>chitecture and Interior Design</w:t>
      </w:r>
      <w:r w:rsidR="00CA1872">
        <w:t xml:space="preserve"> – Chapter 481, Part I</w:t>
      </w:r>
      <w:r w:rsidR="00EB0314">
        <w:t>, FS</w:t>
      </w:r>
      <w:r w:rsidR="00CA1872">
        <w:t xml:space="preserve"> and 61G1 FAC</w:t>
      </w:r>
      <w:r w:rsidR="009A1012">
        <w:t>:</w:t>
      </w:r>
      <w:r w:rsidR="009B53D8">
        <w:t xml:space="preserve"> </w:t>
      </w:r>
    </w:p>
    <w:p w:rsidR="003C50CC" w:rsidRDefault="003C50CC" w:rsidP="003C50CC">
      <w:pPr>
        <w:pStyle w:val="BlockText"/>
        <w:ind w:left="1080"/>
      </w:pPr>
    </w:p>
    <w:p w:rsidR="008A4467" w:rsidRDefault="008B06DE" w:rsidP="00A9360E">
      <w:pPr>
        <w:pStyle w:val="BlockText"/>
        <w:numPr>
          <w:ilvl w:val="1"/>
          <w:numId w:val="32"/>
        </w:numPr>
      </w:pPr>
      <w:r>
        <w:t xml:space="preserve">This board proposed to adopt </w:t>
      </w:r>
      <w:r w:rsidR="00927EF0">
        <w:t xml:space="preserve">or amend </w:t>
      </w:r>
      <w:r>
        <w:t>the following rules</w:t>
      </w:r>
      <w:r w:rsidR="00927EF0">
        <w:t xml:space="preserve"> (if any)</w:t>
      </w:r>
      <w:r w:rsidR="00103CDF">
        <w:t xml:space="preserve">: </w:t>
      </w:r>
    </w:p>
    <w:p w:rsidR="002F16B3" w:rsidRDefault="002F16B3" w:rsidP="002F16B3">
      <w:pPr>
        <w:pStyle w:val="BlockText"/>
        <w:ind w:left="1800"/>
      </w:pPr>
    </w:p>
    <w:p w:rsidR="002F16B3" w:rsidRDefault="002F16B3" w:rsidP="002F16B3">
      <w:pPr>
        <w:pStyle w:val="BlockText"/>
        <w:numPr>
          <w:ilvl w:val="2"/>
          <w:numId w:val="32"/>
        </w:numPr>
      </w:pPr>
      <w:r>
        <w:t>Rule 61G1-13.001, regarding experience requirements through National Council of Architectural Registration Boards (NCARB).</w:t>
      </w:r>
    </w:p>
    <w:p w:rsidR="003F5F1A" w:rsidRDefault="003F5F1A" w:rsidP="003F5F1A">
      <w:pPr>
        <w:pStyle w:val="BlockText"/>
        <w:ind w:left="1800"/>
      </w:pPr>
    </w:p>
    <w:p w:rsidR="00D35E4B" w:rsidRDefault="002F16B3" w:rsidP="002F16B3">
      <w:pPr>
        <w:pStyle w:val="BlockText"/>
        <w:numPr>
          <w:ilvl w:val="2"/>
          <w:numId w:val="32"/>
        </w:numPr>
      </w:pPr>
      <w:r>
        <w:t>Rule 61G1-21.003</w:t>
      </w:r>
      <w:r w:rsidR="00376DA1">
        <w:t xml:space="preserve">, regarding </w:t>
      </w:r>
      <w:r>
        <w:t>continuing education to incorporate the newest version (2012) of the handbook for Interior Designers.</w:t>
      </w:r>
    </w:p>
    <w:p w:rsidR="00376DA1" w:rsidRDefault="00376DA1" w:rsidP="00376DA1">
      <w:pPr>
        <w:pStyle w:val="BlockText"/>
        <w:ind w:left="2520"/>
      </w:pPr>
    </w:p>
    <w:p w:rsidR="00376DA1" w:rsidRDefault="002F16B3" w:rsidP="00376DA1">
      <w:pPr>
        <w:pStyle w:val="BlockText"/>
        <w:numPr>
          <w:ilvl w:val="2"/>
          <w:numId w:val="32"/>
        </w:numPr>
      </w:pPr>
      <w:r>
        <w:t>Rule 61G1-24.002</w:t>
      </w:r>
      <w:r w:rsidR="00376DA1">
        <w:t xml:space="preserve">, regarding </w:t>
      </w:r>
      <w:r>
        <w:t xml:space="preserve">continuing education to incorporate the newest version (2012) of the handbook for </w:t>
      </w:r>
      <w:r w:rsidR="00B901A9">
        <w:t>Architects</w:t>
      </w:r>
      <w:r>
        <w:t>.</w:t>
      </w:r>
    </w:p>
    <w:p w:rsidR="00D35E4B" w:rsidRDefault="00D35E4B" w:rsidP="00B901A9"/>
    <w:p w:rsidR="00376DA1" w:rsidRDefault="00EA1B72" w:rsidP="0096439D">
      <w:pPr>
        <w:pStyle w:val="BlockText"/>
        <w:numPr>
          <w:ilvl w:val="1"/>
          <w:numId w:val="32"/>
        </w:numPr>
      </w:pPr>
      <w:r>
        <w:t xml:space="preserve">This board proposed the repeal of </w:t>
      </w:r>
      <w:r w:rsidR="00376DA1">
        <w:t>the following rules (if any)</w:t>
      </w:r>
      <w:r w:rsidR="00B901A9">
        <w:t>: None.</w:t>
      </w:r>
    </w:p>
    <w:p w:rsidR="00EA1B72" w:rsidRDefault="00A9360E" w:rsidP="00B901A9">
      <w:pPr>
        <w:pStyle w:val="BlockText"/>
        <w:ind w:left="1800"/>
      </w:pPr>
      <w:r>
        <w:t xml:space="preserve"> </w:t>
      </w:r>
    </w:p>
    <w:p w:rsidR="008B06DE" w:rsidRDefault="008B06DE" w:rsidP="00EA1B72">
      <w:pPr>
        <w:pStyle w:val="BlockText"/>
        <w:numPr>
          <w:ilvl w:val="1"/>
          <w:numId w:val="32"/>
        </w:numPr>
      </w:pPr>
      <w:r>
        <w:t>This board has received</w:t>
      </w:r>
      <w:r w:rsidR="00555FBF">
        <w:t xml:space="preserve"> or disposed of</w:t>
      </w:r>
      <w:r>
        <w:t xml:space="preserve"> the following Petitions for Declaratory Statement</w:t>
      </w:r>
      <w:r w:rsidR="00927EF0">
        <w:t xml:space="preserve"> (if any)</w:t>
      </w:r>
      <w:r>
        <w:t>:</w:t>
      </w:r>
      <w:r w:rsidR="006577D7">
        <w:t xml:space="preserve"> </w:t>
      </w:r>
      <w:r w:rsidR="00B901A9">
        <w:t>None.</w:t>
      </w:r>
    </w:p>
    <w:p w:rsidR="008B06DE" w:rsidRDefault="008B06DE" w:rsidP="008B06DE">
      <w:pPr>
        <w:pStyle w:val="ListParagraph"/>
      </w:pPr>
    </w:p>
    <w:p w:rsidR="00A9360E" w:rsidRDefault="008B06DE" w:rsidP="00A9360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EA1B72">
        <w:t xml:space="preserve"> </w:t>
      </w:r>
      <w:r w:rsidR="00B901A9">
        <w:t>None.</w:t>
      </w:r>
    </w:p>
    <w:p w:rsidR="002E2A6D" w:rsidRDefault="00CA1872" w:rsidP="00172C04">
      <w:pPr>
        <w:pStyle w:val="BlockText"/>
        <w:numPr>
          <w:ilvl w:val="0"/>
          <w:numId w:val="32"/>
        </w:numPr>
      </w:pPr>
      <w:r w:rsidRPr="00EF1953">
        <w:rPr>
          <w:u w:val="single"/>
        </w:rPr>
        <w:t>Board of Landscape Architecture</w:t>
      </w:r>
      <w:r>
        <w:t xml:space="preserve"> – Chapter 481, Part II</w:t>
      </w:r>
      <w:r w:rsidR="00EB0314">
        <w:t>, FS</w:t>
      </w:r>
      <w:r>
        <w:t xml:space="preserve"> and 61G10 FAC</w:t>
      </w:r>
      <w:r w:rsidR="00305FDE">
        <w:t xml:space="preserve">: </w:t>
      </w:r>
    </w:p>
    <w:p w:rsidR="00305FDE" w:rsidRDefault="00305FDE" w:rsidP="00BB3CE8"/>
    <w:p w:rsidR="008B06DE" w:rsidRDefault="008B06DE" w:rsidP="008B06DE">
      <w:pPr>
        <w:ind w:left="2160"/>
      </w:pPr>
      <w:r>
        <w:t>(Nothing to report)</w:t>
      </w:r>
    </w:p>
    <w:p w:rsidR="002B3E98" w:rsidRDefault="002B3E98" w:rsidP="00172C04"/>
    <w:p w:rsidR="002B0DFC" w:rsidRDefault="00F9535D" w:rsidP="00D532DF">
      <w:pPr>
        <w:pStyle w:val="BlockText"/>
        <w:numPr>
          <w:ilvl w:val="0"/>
          <w:numId w:val="32"/>
        </w:numPr>
      </w:pPr>
      <w:r w:rsidRPr="00D42313">
        <w:rPr>
          <w:u w:val="single"/>
        </w:rPr>
        <w:t>Board</w:t>
      </w:r>
      <w:r w:rsidR="00CA1872" w:rsidRPr="00D42313">
        <w:rPr>
          <w:u w:val="single"/>
        </w:rPr>
        <w:t xml:space="preserve"> of Professional Engineers</w:t>
      </w:r>
      <w:r w:rsidR="00CA1872">
        <w:t xml:space="preserve"> – Chapter 471, </w:t>
      </w:r>
      <w:r w:rsidR="00EB0314">
        <w:t xml:space="preserve">FS </w:t>
      </w:r>
      <w:r w:rsidR="00CA1872">
        <w:t>and 61G15 FAC</w:t>
      </w:r>
      <w:r w:rsidR="00305FDE">
        <w:t xml:space="preserve">: </w:t>
      </w:r>
    </w:p>
    <w:p w:rsidR="00E8267C" w:rsidRDefault="00E8267C" w:rsidP="00E8267C">
      <w:pPr>
        <w:pStyle w:val="BlockText"/>
      </w:pPr>
    </w:p>
    <w:p w:rsidR="00B901A9" w:rsidRDefault="00B901A9" w:rsidP="00B901A9">
      <w:pPr>
        <w:ind w:left="1440"/>
      </w:pPr>
      <w:r>
        <w:t>a. This board proposed to adopt or amend the following rules (if any):</w:t>
      </w:r>
    </w:p>
    <w:p w:rsidR="00B901A9" w:rsidRDefault="00B901A9" w:rsidP="00B901A9">
      <w:pPr>
        <w:ind w:left="1440"/>
      </w:pPr>
    </w:p>
    <w:p w:rsidR="00B901A9" w:rsidRDefault="00B901A9" w:rsidP="00B901A9">
      <w:pPr>
        <w:ind w:left="2160"/>
      </w:pPr>
      <w:r>
        <w:t>i. Rule 61G5-20.007(1)(d), to establish minimum score of 80 for an internet version of Test of English as a Foreign Language (TOEFL).</w:t>
      </w:r>
    </w:p>
    <w:p w:rsidR="00B901A9" w:rsidRDefault="00B901A9" w:rsidP="00B901A9">
      <w:pPr>
        <w:ind w:left="2160"/>
      </w:pPr>
    </w:p>
    <w:p w:rsidR="00B901A9" w:rsidRDefault="0013367A" w:rsidP="00B901A9">
      <w:pPr>
        <w:ind w:left="2160"/>
      </w:pPr>
      <w:r>
        <w:t>ii. Rule 61G5-22.00</w:t>
      </w:r>
      <w:r w:rsidR="00B901A9">
        <w:t>1</w:t>
      </w:r>
      <w:r>
        <w:t>(3)</w:t>
      </w:r>
      <w:r w:rsidR="00B901A9">
        <w:t>, to delete reference to the continuing educational requirements to reactivate a license that has been inactive for more than one year (to comport with recent statutory changes in Chapter 455, F.S. by Chapter 2012-72, L.O.F., effective October 1, 2012).</w:t>
      </w:r>
    </w:p>
    <w:p w:rsidR="00B901A9" w:rsidRDefault="00B901A9" w:rsidP="0013367A"/>
    <w:p w:rsidR="0013367A" w:rsidRDefault="0013367A" w:rsidP="0013367A">
      <w:pPr>
        <w:ind w:left="2160"/>
      </w:pPr>
      <w:r>
        <w:t>iii. Rule 61G5-35.003, adding qualification programs for licensed engineers serving as Special Inspectors of threshold buildings for structural design and structural field inspections.</w:t>
      </w:r>
    </w:p>
    <w:p w:rsidR="0013367A" w:rsidRDefault="0013367A" w:rsidP="0013367A">
      <w:pPr>
        <w:ind w:left="2160"/>
      </w:pPr>
    </w:p>
    <w:p w:rsidR="0013367A" w:rsidRDefault="0013367A" w:rsidP="0013367A">
      <w:pPr>
        <w:ind w:left="2160"/>
      </w:pPr>
      <w:r>
        <w:t>iv. Rule 61G5-35.004, adding common requirements to all engineers providing threshold building inspection services as Special Inspectors.</w:t>
      </w:r>
    </w:p>
    <w:p w:rsidR="00B901A9" w:rsidRDefault="00B901A9" w:rsidP="00B901A9"/>
    <w:p w:rsidR="00B901A9" w:rsidRDefault="00B901A9" w:rsidP="00B901A9">
      <w:r>
        <w:tab/>
      </w:r>
      <w:r>
        <w:tab/>
        <w:t>b. This board proposed to repeal the following rules (if any</w:t>
      </w:r>
      <w:r w:rsidR="007C3596">
        <w:t>): None.</w:t>
      </w:r>
    </w:p>
    <w:p w:rsidR="00B901A9" w:rsidRDefault="00B901A9" w:rsidP="00B901A9">
      <w:pPr>
        <w:ind w:left="1440"/>
      </w:pPr>
      <w:r>
        <w:tab/>
      </w:r>
    </w:p>
    <w:p w:rsidR="000324B5" w:rsidRDefault="000324B5" w:rsidP="000324B5">
      <w:pPr>
        <w:pStyle w:val="BlockText"/>
      </w:pPr>
    </w:p>
    <w:p w:rsidR="002363CA" w:rsidRDefault="00F9535D" w:rsidP="008B06DE">
      <w:pPr>
        <w:pStyle w:val="BlockText"/>
        <w:numPr>
          <w:ilvl w:val="0"/>
          <w:numId w:val="32"/>
        </w:numPr>
      </w:pPr>
      <w:r w:rsidRPr="009A1012">
        <w:rPr>
          <w:u w:val="single"/>
        </w:rPr>
        <w:t>Building Code Administrators and Inspectors</w:t>
      </w:r>
      <w:r>
        <w:t xml:space="preserve"> Board</w:t>
      </w:r>
      <w:r w:rsidR="00CA1872">
        <w:t xml:space="preserve"> – Chapter 468, Part XII and 61G19 FAC</w:t>
      </w:r>
      <w:r w:rsidR="002E2A6D">
        <w:t xml:space="preserve">: </w:t>
      </w:r>
    </w:p>
    <w:p w:rsidR="008B06DE" w:rsidRDefault="008B06DE" w:rsidP="008B06DE">
      <w:pPr>
        <w:pStyle w:val="BlockText"/>
        <w:ind w:left="1440"/>
      </w:pPr>
    </w:p>
    <w:p w:rsidR="002D1599" w:rsidRDefault="00F60C95" w:rsidP="002D1599">
      <w:pPr>
        <w:pStyle w:val="BlockText"/>
        <w:numPr>
          <w:ilvl w:val="1"/>
          <w:numId w:val="32"/>
        </w:numPr>
      </w:pPr>
      <w:r>
        <w:t>This board proposed to adopt or amend</w:t>
      </w:r>
      <w:r w:rsidR="008C0D2B">
        <w:t xml:space="preserve"> </w:t>
      </w:r>
      <w:r w:rsidR="008B06DE">
        <w:t>the following rules</w:t>
      </w:r>
      <w:r w:rsidR="00927EF0">
        <w:t xml:space="preserve"> (</w:t>
      </w:r>
      <w:r w:rsidR="00CB18D5">
        <w:t>if</w:t>
      </w:r>
      <w:r w:rsidR="00927EF0">
        <w:t xml:space="preserve"> any)</w:t>
      </w:r>
      <w:r w:rsidR="002D1599">
        <w:t>:</w:t>
      </w:r>
    </w:p>
    <w:p w:rsidR="007C3596" w:rsidRDefault="007C3596" w:rsidP="007C3596">
      <w:pPr>
        <w:pStyle w:val="BlockText"/>
        <w:ind w:left="1800"/>
      </w:pPr>
    </w:p>
    <w:p w:rsidR="007C3596" w:rsidRDefault="007C3596" w:rsidP="007C3596">
      <w:pPr>
        <w:pStyle w:val="BlockText"/>
        <w:numPr>
          <w:ilvl w:val="2"/>
          <w:numId w:val="32"/>
        </w:numPr>
      </w:pPr>
      <w:r>
        <w:t>Rule 61G19.015 regarding inactive status to limit continuing education hours to the "immediately prece[e]ding" inactive biennium (to comport with recent statutory changes in Chapter 455, F.S. by Chapter 2012-72, L.O.F., effective October 1, 2012).</w:t>
      </w:r>
    </w:p>
    <w:p w:rsidR="002D1599" w:rsidRDefault="002D1599" w:rsidP="002D1599">
      <w:pPr>
        <w:pStyle w:val="BlockText"/>
        <w:ind w:left="1800"/>
      </w:pPr>
    </w:p>
    <w:p w:rsidR="002D1599" w:rsidRDefault="007C3596" w:rsidP="002D1599">
      <w:pPr>
        <w:pStyle w:val="BlockText"/>
        <w:numPr>
          <w:ilvl w:val="2"/>
          <w:numId w:val="32"/>
        </w:numPr>
      </w:pPr>
      <w:r>
        <w:t>Rule 61G19-6.0035</w:t>
      </w:r>
      <w:r w:rsidR="00E8267C">
        <w:t xml:space="preserve"> is </w:t>
      </w:r>
      <w:r w:rsidR="002D1599">
        <w:t xml:space="preserve">amended to </w:t>
      </w:r>
      <w:r>
        <w:t>add "fire safety" to the list of work experience required of those applicants who are not employed by a local governmental agency.</w:t>
      </w:r>
    </w:p>
    <w:p w:rsidR="007C3596" w:rsidRDefault="007C3596" w:rsidP="007C3596">
      <w:pPr>
        <w:pStyle w:val="BlockText"/>
        <w:ind w:left="2520"/>
      </w:pPr>
    </w:p>
    <w:p w:rsidR="007C3596" w:rsidRDefault="007C3596" w:rsidP="002D1599">
      <w:pPr>
        <w:pStyle w:val="BlockText"/>
        <w:numPr>
          <w:ilvl w:val="2"/>
          <w:numId w:val="32"/>
        </w:numPr>
      </w:pPr>
      <w:r>
        <w:t>Rule 61G19-9.004, adding (11)(b) adding to the list of approved courses those approved by the Division of State Fire Marshall in according with the provisions of recent reciprocity agreement with the board as provided by statutory change in 2011.</w:t>
      </w:r>
    </w:p>
    <w:p w:rsidR="002D1599" w:rsidRDefault="002D1599" w:rsidP="002D1599">
      <w:pPr>
        <w:pStyle w:val="BlockText"/>
        <w:ind w:left="2520"/>
      </w:pPr>
    </w:p>
    <w:p w:rsidR="002D1599" w:rsidRDefault="00E8267C" w:rsidP="002D1599">
      <w:pPr>
        <w:pStyle w:val="BlockText"/>
        <w:numPr>
          <w:ilvl w:val="2"/>
          <w:numId w:val="32"/>
        </w:numPr>
      </w:pPr>
      <w:r>
        <w:t>Rule 61G19-10.001 is amended to eliminate the differential in</w:t>
      </w:r>
      <w:r w:rsidR="002D1599">
        <w:t xml:space="preserve"> renewal fees for </w:t>
      </w:r>
      <w:r>
        <w:t xml:space="preserve">licensees employed by </w:t>
      </w:r>
      <w:r w:rsidR="002D1599">
        <w:t>b</w:t>
      </w:r>
      <w:r>
        <w:t>oth private and public entities</w:t>
      </w:r>
      <w:r w:rsidR="002D1599">
        <w:t>.</w:t>
      </w:r>
    </w:p>
    <w:p w:rsidR="00F60C95" w:rsidRDefault="00F60C95" w:rsidP="00F60C95">
      <w:pPr>
        <w:pStyle w:val="BlockText"/>
        <w:ind w:left="1800"/>
      </w:pPr>
    </w:p>
    <w:p w:rsidR="00F56C3E" w:rsidRDefault="00F60C95" w:rsidP="005F17D4">
      <w:pPr>
        <w:pStyle w:val="BlockText"/>
        <w:numPr>
          <w:ilvl w:val="1"/>
          <w:numId w:val="32"/>
        </w:numPr>
      </w:pPr>
      <w:r>
        <w:t>This board proposed to repeal the following rules (if any):</w:t>
      </w:r>
      <w:r w:rsidR="00A9360E">
        <w:t xml:space="preserve"> </w:t>
      </w:r>
      <w:r w:rsidR="002D1599">
        <w:t>None.</w:t>
      </w:r>
    </w:p>
    <w:p w:rsidR="008B06DE" w:rsidRDefault="008B06DE" w:rsidP="00055700">
      <w:pPr>
        <w:pStyle w:val="BlockText"/>
      </w:pPr>
    </w:p>
    <w:p w:rsidR="008B06DE" w:rsidRDefault="008B06DE" w:rsidP="00156092">
      <w:pPr>
        <w:pStyle w:val="BlockText"/>
        <w:numPr>
          <w:ilvl w:val="1"/>
          <w:numId w:val="32"/>
        </w:numPr>
      </w:pPr>
      <w:r>
        <w:t xml:space="preserve">This board has received </w:t>
      </w:r>
      <w:r w:rsidR="00555FBF">
        <w:t xml:space="preserve">or disposed of </w:t>
      </w:r>
      <w:r>
        <w:t>the following Petitions for Declaratory Statement</w:t>
      </w:r>
      <w:r w:rsidR="00927EF0">
        <w:t xml:space="preserve"> (if any</w:t>
      </w:r>
      <w:r w:rsidR="00A9360E">
        <w:t xml:space="preserve">): </w:t>
      </w:r>
      <w:r w:rsidR="002D1599">
        <w:t>None.</w:t>
      </w:r>
    </w:p>
    <w:p w:rsidR="00156092" w:rsidRDefault="00156092" w:rsidP="00156092">
      <w:pPr>
        <w:pStyle w:val="BlockText"/>
      </w:pPr>
    </w:p>
    <w:p w:rsidR="008B06DE" w:rsidRDefault="008B06DE" w:rsidP="008B06DE">
      <w:pPr>
        <w:pStyle w:val="BlockText"/>
        <w:numPr>
          <w:ilvl w:val="1"/>
          <w:numId w:val="32"/>
        </w:numPr>
      </w:pPr>
      <w:r>
        <w:t xml:space="preserve">This board has received </w:t>
      </w:r>
      <w:r w:rsidR="00555FBF">
        <w:t xml:space="preserve">or disposed of </w:t>
      </w:r>
      <w:r>
        <w:t>the following Petitions for Variance or Waiver</w:t>
      </w:r>
      <w:r w:rsidR="00927EF0">
        <w:t xml:space="preserve"> (if any)</w:t>
      </w:r>
      <w:r>
        <w:t>:</w:t>
      </w:r>
      <w:r w:rsidR="00D83830">
        <w:t xml:space="preserve"> </w:t>
      </w:r>
      <w:r w:rsidR="002D1599">
        <w:t>None.</w:t>
      </w:r>
    </w:p>
    <w:p w:rsidR="005C5CFC" w:rsidRPr="003134D3" w:rsidRDefault="005C5CFC" w:rsidP="005C5CFC">
      <w:pPr>
        <w:pStyle w:val="BlockText"/>
      </w:pPr>
    </w:p>
    <w:p w:rsidR="002B0DFC" w:rsidRDefault="0098369B" w:rsidP="005C5CFC">
      <w:pPr>
        <w:pStyle w:val="BlockText"/>
        <w:numPr>
          <w:ilvl w:val="0"/>
          <w:numId w:val="32"/>
        </w:numPr>
      </w:pPr>
      <w:r w:rsidRPr="003C50CC">
        <w:rPr>
          <w:u w:val="single"/>
        </w:rPr>
        <w:t>Florida Building Commission</w:t>
      </w:r>
      <w:r w:rsidR="00EF1953">
        <w:rPr>
          <w:rStyle w:val="FootnoteReference"/>
          <w:u w:val="single"/>
        </w:rPr>
        <w:footnoteReference w:id="1"/>
      </w:r>
      <w:r w:rsidR="00CA1872">
        <w:t xml:space="preserve"> – C</w:t>
      </w:r>
      <w:r w:rsidR="00383EFB">
        <w:t>hapter 553, Part IV</w:t>
      </w:r>
      <w:r w:rsidR="000324B5">
        <w:t xml:space="preserve"> and </w:t>
      </w:r>
      <w:r w:rsidR="00922A6D">
        <w:t>Chapter 61G20</w:t>
      </w:r>
      <w:r w:rsidR="000324B5">
        <w:t>, FAC</w:t>
      </w:r>
      <w:r w:rsidR="0038047E">
        <w:rPr>
          <w:rStyle w:val="FootnoteReference"/>
        </w:rPr>
        <w:footnoteReference w:id="2"/>
      </w:r>
      <w:r w:rsidR="00922A6D">
        <w:t>)</w:t>
      </w:r>
      <w:r w:rsidR="002E2A6D">
        <w:t>:</w:t>
      </w:r>
      <w:r w:rsidR="009A1012">
        <w:t xml:space="preserve"> </w:t>
      </w:r>
    </w:p>
    <w:p w:rsidR="000B0E17" w:rsidRDefault="000B0E17" w:rsidP="00E8267C">
      <w:pPr>
        <w:pStyle w:val="BlockText"/>
      </w:pPr>
    </w:p>
    <w:p w:rsidR="0029168D" w:rsidRDefault="0029168D" w:rsidP="0029168D">
      <w:pPr>
        <w:pStyle w:val="BlockText"/>
        <w:numPr>
          <w:ilvl w:val="1"/>
          <w:numId w:val="32"/>
        </w:numPr>
      </w:pPr>
      <w:r>
        <w:t>The Commission has undertaken a statutory “glitch” cycle</w:t>
      </w:r>
      <w:r w:rsidR="000B0E17">
        <w:t>, beginning with staff recommendations for code changes presented during a rules development worksh</w:t>
      </w:r>
      <w:r w:rsidR="00A9360E">
        <w:t xml:space="preserve">op on June 12, 2012, and with the first </w:t>
      </w:r>
      <w:r w:rsidR="000B0E17">
        <w:t xml:space="preserve">public hearing </w:t>
      </w:r>
      <w:r w:rsidR="00A9360E">
        <w:t>held at the August meeting, based on submittal deadline of August 1st. OVER 900 code changes have been filed for consideration</w:t>
      </w:r>
      <w:r w:rsidR="00E8267C">
        <w:t>, many of which will be taken up by the appropriate Technical Advisory Committees on October 7-8, 2012</w:t>
      </w:r>
      <w:r w:rsidR="007C3596">
        <w:t>, and by the full commission on December 3-5, 2012.</w:t>
      </w:r>
    </w:p>
    <w:p w:rsidR="008B06DE" w:rsidRDefault="008B06DE" w:rsidP="006B60DD"/>
    <w:p w:rsidR="008B06DE" w:rsidRDefault="00922A6D" w:rsidP="008B06DE">
      <w:pPr>
        <w:pStyle w:val="BlockText"/>
        <w:numPr>
          <w:ilvl w:val="1"/>
          <w:numId w:val="32"/>
        </w:numPr>
      </w:pPr>
      <w:r>
        <w:t>The commission</w:t>
      </w:r>
      <w:r w:rsidR="008B06DE">
        <w:t xml:space="preserve"> has received the following Petitions for Variance or Waiver</w:t>
      </w:r>
      <w:r w:rsidR="00927EF0">
        <w:t xml:space="preserve"> (if any)</w:t>
      </w:r>
      <w:r w:rsidR="008B06DE">
        <w:t>:</w:t>
      </w:r>
      <w:r w:rsidR="00E8267C">
        <w:t xml:space="preserve"> None.</w:t>
      </w:r>
    </w:p>
    <w:p w:rsidR="003C50CC" w:rsidRDefault="003C50CC" w:rsidP="003C50CC">
      <w:pPr>
        <w:pStyle w:val="BlockText"/>
        <w:ind w:left="1080"/>
      </w:pPr>
    </w:p>
    <w:p w:rsidR="002C5E1D" w:rsidRPr="00383EFB" w:rsidRDefault="002C5E1D" w:rsidP="002C5E1D">
      <w:pPr>
        <w:pStyle w:val="BlockText"/>
        <w:numPr>
          <w:ilvl w:val="0"/>
          <w:numId w:val="30"/>
        </w:numPr>
        <w:rPr>
          <w:b/>
        </w:rPr>
      </w:pPr>
      <w:r w:rsidRPr="00383EFB">
        <w:rPr>
          <w:b/>
        </w:rPr>
        <w:t>Environmental Protection</w:t>
      </w:r>
      <w:r>
        <w:rPr>
          <w:b/>
        </w:rPr>
        <w:t>: To be determined.</w:t>
      </w:r>
    </w:p>
    <w:p w:rsidR="002E2A6D" w:rsidRPr="002E2A6D" w:rsidRDefault="002E2A6D" w:rsidP="002E2A6D">
      <w:pPr>
        <w:pStyle w:val="BlockText"/>
        <w:ind w:left="720"/>
      </w:pPr>
    </w:p>
    <w:p w:rsidR="00A9360E" w:rsidRDefault="0098369B" w:rsidP="00A9360E">
      <w:pPr>
        <w:pStyle w:val="BlockText"/>
        <w:numPr>
          <w:ilvl w:val="0"/>
          <w:numId w:val="30"/>
        </w:numPr>
        <w:rPr>
          <w:b/>
        </w:rPr>
      </w:pPr>
      <w:r w:rsidRPr="006577D7">
        <w:rPr>
          <w:b/>
        </w:rPr>
        <w:t>Health</w:t>
      </w:r>
      <w:r w:rsidR="00CA1872">
        <w:t xml:space="preserve">: </w:t>
      </w:r>
      <w:r w:rsidR="00CA1872" w:rsidRPr="00922A6D">
        <w:rPr>
          <w:b/>
        </w:rPr>
        <w:t>Water Qualit</w:t>
      </w:r>
      <w:r w:rsidR="00383EFB" w:rsidRPr="00922A6D">
        <w:rPr>
          <w:b/>
        </w:rPr>
        <w:t>y/Septic Tanks</w:t>
      </w:r>
      <w:r w:rsidR="00D9771C" w:rsidRPr="00922A6D">
        <w:rPr>
          <w:b/>
        </w:rPr>
        <w:t xml:space="preserve"> – Chapter 381</w:t>
      </w:r>
      <w:r w:rsidR="00383EFB" w:rsidRPr="00922A6D">
        <w:rPr>
          <w:b/>
        </w:rPr>
        <w:t xml:space="preserve"> and 64E</w:t>
      </w:r>
      <w:r w:rsidR="002E2A6D" w:rsidRPr="00922A6D">
        <w:rPr>
          <w:b/>
        </w:rPr>
        <w:t xml:space="preserve"> FAC:</w:t>
      </w:r>
      <w:r w:rsidR="00221AAE" w:rsidRPr="00922A6D">
        <w:rPr>
          <w:b/>
        </w:rPr>
        <w:t xml:space="preserve"> </w:t>
      </w:r>
      <w:r w:rsidR="00B04E9C">
        <w:rPr>
          <w:b/>
        </w:rPr>
        <w:t xml:space="preserve">Chapter 2012-184, Laws of Florida, </w:t>
      </w:r>
      <w:r w:rsidR="006577D7" w:rsidRPr="000B0E17">
        <w:rPr>
          <w:b/>
          <w:u w:val="single"/>
        </w:rPr>
        <w:t xml:space="preserve">effective </w:t>
      </w:r>
      <w:r w:rsidR="00B04E9C" w:rsidRPr="000B0E17">
        <w:rPr>
          <w:b/>
          <w:u w:val="single"/>
        </w:rPr>
        <w:t>April 27, 2012</w:t>
      </w:r>
      <w:r w:rsidR="00B04E9C">
        <w:rPr>
          <w:b/>
        </w:rPr>
        <w:t>, mad</w:t>
      </w:r>
      <w:r w:rsidR="006577D7" w:rsidRPr="00922A6D">
        <w:rPr>
          <w:b/>
        </w:rPr>
        <w:t>e</w:t>
      </w:r>
      <w:r w:rsidR="00B04E9C">
        <w:rPr>
          <w:b/>
        </w:rPr>
        <w:t xml:space="preserve"> the following changes</w:t>
      </w:r>
      <w:r w:rsidR="00A9360E">
        <w:rPr>
          <w:b/>
        </w:rPr>
        <w:t xml:space="preserve">: </w:t>
      </w:r>
    </w:p>
    <w:p w:rsidR="00A9360E" w:rsidRDefault="00A9360E" w:rsidP="00A9360E">
      <w:pPr>
        <w:pStyle w:val="ListParagraph"/>
      </w:pPr>
    </w:p>
    <w:p w:rsidR="00913DE9" w:rsidRDefault="00A9360E" w:rsidP="00913DE9">
      <w:pPr>
        <w:pStyle w:val="BlockText"/>
        <w:ind w:left="720"/>
      </w:pPr>
      <w:r>
        <w:t xml:space="preserve">1. </w:t>
      </w:r>
      <w:r w:rsidR="006577D7">
        <w:t xml:space="preserve">The </w:t>
      </w:r>
      <w:r w:rsidR="00CF37B7">
        <w:t>Department</w:t>
      </w:r>
      <w:r w:rsidR="006577D7">
        <w:t xml:space="preserve"> of Health’s authority for plan review and approval of swi</w:t>
      </w:r>
      <w:r w:rsidR="00156092">
        <w:t>mming pools and bathing pools was</w:t>
      </w:r>
      <w:r w:rsidR="006577D7">
        <w:t xml:space="preserve"> repealed and given to local government in accordance with the Florida Building Code.</w:t>
      </w:r>
    </w:p>
    <w:p w:rsidR="00913DE9" w:rsidRDefault="00913DE9" w:rsidP="00913DE9">
      <w:pPr>
        <w:pStyle w:val="BlockText"/>
        <w:ind w:left="720"/>
        <w:rPr>
          <w:b/>
        </w:rPr>
      </w:pPr>
    </w:p>
    <w:p w:rsidR="006577D7" w:rsidRPr="00A9360E" w:rsidRDefault="00913DE9" w:rsidP="00913DE9">
      <w:pPr>
        <w:pStyle w:val="BlockText"/>
        <w:ind w:left="720"/>
        <w:rPr>
          <w:b/>
        </w:rPr>
      </w:pPr>
      <w:r w:rsidRPr="00913DE9">
        <w:t>2.</w:t>
      </w:r>
      <w:r>
        <w:rPr>
          <w:b/>
        </w:rPr>
        <w:t xml:space="preserve"> </w:t>
      </w:r>
      <w:r w:rsidR="006577D7">
        <w:t xml:space="preserve">The 2011 enactment of section 381.0065(5), </w:t>
      </w:r>
      <w:r w:rsidR="00CF37B7">
        <w:t>requiring</w:t>
      </w:r>
      <w:r w:rsidR="006577D7">
        <w:t xml:space="preserve"> periodic inspections of on-site sewerage disposal systems (“septic tanks”) is repealed, and authority to impose such requirements is authorized by local governments whose boundaries include a “first magnitude spring,” as defined in the bill.</w:t>
      </w:r>
      <w:r w:rsidR="00B04E9C">
        <w:t xml:space="preserve"> (See Section 32).</w:t>
      </w:r>
    </w:p>
    <w:p w:rsidR="0060730E" w:rsidRDefault="0060730E" w:rsidP="0060730E">
      <w:pPr>
        <w:pStyle w:val="ListParagraph"/>
      </w:pPr>
    </w:p>
    <w:p w:rsidR="0029168D" w:rsidRDefault="00251EB1" w:rsidP="00A9360E">
      <w:pPr>
        <w:pStyle w:val="BlockText"/>
        <w:numPr>
          <w:ilvl w:val="0"/>
          <w:numId w:val="30"/>
        </w:numPr>
      </w:pPr>
      <w:r w:rsidRPr="00251EB1">
        <w:rPr>
          <w:b/>
        </w:rPr>
        <w:t>Financial Services</w:t>
      </w:r>
      <w:r w:rsidR="00CA1872">
        <w:t>: Workers’ Compensation Insu</w:t>
      </w:r>
      <w:r w:rsidR="002E2A6D">
        <w:t>rance – Chapter 440 and 69L FAC:</w:t>
      </w:r>
      <w:r w:rsidR="00026C6B">
        <w:t xml:space="preserve"> </w:t>
      </w:r>
    </w:p>
    <w:p w:rsidR="0029168D" w:rsidRDefault="0029168D" w:rsidP="0029168D">
      <w:pPr>
        <w:pStyle w:val="BlockText"/>
        <w:ind w:left="720"/>
      </w:pPr>
      <w:r>
        <w:t>]</w:t>
      </w:r>
    </w:p>
    <w:p w:rsidR="00026C6B" w:rsidRDefault="00EC539A" w:rsidP="0029168D">
      <w:pPr>
        <w:pStyle w:val="BlockText"/>
        <w:ind w:left="360"/>
      </w:pPr>
      <w:r w:rsidRPr="0029168D">
        <w:rPr>
          <w:b/>
          <w:u w:val="single"/>
        </w:rPr>
        <w:t>NEW NOTICE:</w:t>
      </w:r>
      <w:r w:rsidR="00913DE9">
        <w:t xml:space="preserve"> As of</w:t>
      </w:r>
      <w:r>
        <w:t xml:space="preserve"> </w:t>
      </w:r>
      <w:r w:rsidRPr="000B0E17">
        <w:rPr>
          <w:u w:val="single"/>
        </w:rPr>
        <w:t>July 1, 2012</w:t>
      </w:r>
      <w:r>
        <w:t xml:space="preserve">, applications for exemption from workers’ compensation insurance can be made on-line at </w:t>
      </w:r>
      <w:r w:rsidRPr="0029168D">
        <w:rPr>
          <w:u w:val="single"/>
        </w:rPr>
        <w:t>myfloridacfo.com/wc</w:t>
      </w:r>
      <w:r>
        <w:t xml:space="preserve">. </w:t>
      </w:r>
      <w:r w:rsidR="0029168D">
        <w:t>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3C265E" w:rsidRDefault="003C265E" w:rsidP="0029168D">
      <w:pPr>
        <w:pStyle w:val="BlockText"/>
        <w:ind w:left="360"/>
      </w:pPr>
    </w:p>
    <w:p w:rsidR="003C265E" w:rsidRPr="003C265E" w:rsidRDefault="003C265E" w:rsidP="003C265E">
      <w:pPr>
        <w:pStyle w:val="BlockText"/>
        <w:ind w:left="360"/>
        <w:rPr>
          <w:b/>
          <w:i/>
          <w:u w:val="single"/>
        </w:rPr>
      </w:pPr>
      <w:r w:rsidRPr="003C265E">
        <w:rPr>
          <w:b/>
          <w:i/>
          <w:u w:val="single"/>
        </w:rPr>
        <w:t xml:space="preserve">IMPORTANT UNDATE: Out-of-state applicants who do NOT have Florida driver’s license or identification </w:t>
      </w:r>
      <w:r w:rsidR="00EC539A" w:rsidRPr="003C265E">
        <w:rPr>
          <w:b/>
          <w:i/>
          <w:u w:val="single"/>
        </w:rPr>
        <w:t>card</w:t>
      </w:r>
      <w:r w:rsidRPr="003C265E">
        <w:rPr>
          <w:b/>
          <w:i/>
          <w:u w:val="single"/>
        </w:rPr>
        <w:t xml:space="preserve"> should submit their applications in hard copy for processing. This is a “glitch” in the new law, but the department is allowing this “fix” until the legislature has an opportunity to again change the statute.</w:t>
      </w:r>
    </w:p>
    <w:p w:rsidR="00227443" w:rsidRDefault="00227443" w:rsidP="00227443">
      <w:pPr>
        <w:pStyle w:val="BlockText"/>
        <w:ind w:left="720"/>
        <w:rPr>
          <w:b/>
        </w:rPr>
      </w:pPr>
    </w:p>
    <w:p w:rsidR="00DE0FB7" w:rsidRDefault="00252DC4" w:rsidP="00016A29">
      <w:pPr>
        <w:pStyle w:val="BlockText"/>
        <w:ind w:left="360"/>
      </w:pPr>
      <w:r w:rsidRPr="00252DC4">
        <w:rPr>
          <w:b/>
          <w:u w:val="single"/>
        </w:rPr>
        <w:t>Warning:</w:t>
      </w:r>
      <w:r>
        <w:t xml:space="preserve"> Insurance carriers and their representative j</w:t>
      </w:r>
      <w:r w:rsidR="00EF1953">
        <w:t>oint underwriter association appear to be now</w:t>
      </w:r>
      <w:r>
        <w:t xml:space="preserve"> checking for policies or exemptions issued to recently qualified businesses, and filing complaints with DBPR for those who do no</w:t>
      </w:r>
      <w:r w:rsidR="00EF1953">
        <w:t>t have either</w:t>
      </w:r>
      <w:r>
        <w:t xml:space="preserve">. While the current </w:t>
      </w:r>
      <w:r w:rsidR="00EF1953">
        <w:t xml:space="preserve">licensure </w:t>
      </w:r>
      <w:r>
        <w:t xml:space="preserve">application forms purport to require such insurance coverage within thirty (30) days of licensure, there does not appear to be any statutory requirement for WC coverage until a business has a </w:t>
      </w:r>
      <w:r w:rsidR="006E5C27">
        <w:t>payroll</w:t>
      </w:r>
      <w:r>
        <w:t>.</w:t>
      </w:r>
    </w:p>
    <w:p w:rsidR="00222C12" w:rsidRDefault="00222C12" w:rsidP="00016A29">
      <w:pPr>
        <w:pStyle w:val="BlockText"/>
        <w:ind w:left="360"/>
      </w:pPr>
    </w:p>
    <w:p w:rsidR="00B04E9C" w:rsidRDefault="00222C12" w:rsidP="005F17D4">
      <w:pPr>
        <w:pStyle w:val="BlockText"/>
        <w:ind w:left="36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2B78B0" w:rsidRDefault="002B78B0" w:rsidP="002B78B0">
      <w:pPr>
        <w:pStyle w:val="BlockText"/>
        <w:rPr>
          <w:b/>
          <w:u w:val="single"/>
        </w:rPr>
      </w:pPr>
    </w:p>
    <w:p w:rsidR="009C6CE8" w:rsidRDefault="00CF37B7" w:rsidP="002B78B0">
      <w:pPr>
        <w:pStyle w:val="BlockText"/>
      </w:pPr>
      <w:r w:rsidRPr="00CD02EB">
        <w:rPr>
          <w:b/>
          <w:u w:val="single"/>
        </w:rPr>
        <w:t>Legislative Action:</w:t>
      </w:r>
      <w:r w:rsidR="00156092">
        <w:t xml:space="preserve"> Nothing to report</w:t>
      </w:r>
      <w:r w:rsidR="000324B5">
        <w:t xml:space="preserve"> since the new regularly schedule legislative session will not begin until March </w:t>
      </w:r>
      <w:r w:rsidR="00913DE9">
        <w:t xml:space="preserve">3, </w:t>
      </w:r>
      <w:r w:rsidR="000324B5">
        <w:t xml:space="preserve">2013, </w:t>
      </w:r>
      <w:r w:rsidR="00913DE9">
        <w:t xml:space="preserve">for a period of 60 calendar days, </w:t>
      </w:r>
      <w:r w:rsidR="000324B5">
        <w:t xml:space="preserve">and </w:t>
      </w:r>
      <w:r w:rsidR="00913DE9">
        <w:t xml:space="preserve">very few bills (none related to construction) have been </w:t>
      </w:r>
      <w:r w:rsidR="000324B5">
        <w:t>filed</w:t>
      </w:r>
      <w:r w:rsidR="00274276">
        <w:t xml:space="preserve"> </w:t>
      </w:r>
      <w:r w:rsidR="00913DE9">
        <w:t xml:space="preserve">for consideration during the initial </w:t>
      </w:r>
      <w:r w:rsidR="00274276">
        <w:t xml:space="preserve">committee meetings </w:t>
      </w:r>
      <w:r w:rsidR="00913DE9">
        <w:t>that began December 3, 2012.</w:t>
      </w:r>
    </w:p>
    <w:p w:rsidR="00156092" w:rsidRDefault="00156092" w:rsidP="002B78B0">
      <w:pPr>
        <w:pStyle w:val="BlockText"/>
      </w:pPr>
    </w:p>
    <w:p w:rsidR="00156092" w:rsidRDefault="00156092" w:rsidP="002B78B0">
      <w:pPr>
        <w:pStyle w:val="BlockText"/>
      </w:pPr>
      <w:r>
        <w:t>Respectfully submitted,</w:t>
      </w:r>
    </w:p>
    <w:p w:rsidR="00E8267C" w:rsidRDefault="00E8267C" w:rsidP="002B78B0">
      <w:pPr>
        <w:pStyle w:val="BlockText"/>
      </w:pPr>
    </w:p>
    <w:p w:rsidR="00156092" w:rsidRDefault="00913DE9" w:rsidP="002B78B0">
      <w:pPr>
        <w:pStyle w:val="BlockText"/>
      </w:pPr>
      <w:r>
        <w:t>December 7</w:t>
      </w:r>
      <w:r w:rsidR="0029168D">
        <w:t>, 2</w:t>
      </w:r>
      <w:r w:rsidR="00156092">
        <w:t>012.</w:t>
      </w:r>
    </w:p>
    <w:p w:rsidR="009C6CE8" w:rsidRDefault="009C6CE8" w:rsidP="00922A6D">
      <w:pPr>
        <w:pStyle w:val="BlockText"/>
        <w:ind w:left="360"/>
      </w:pPr>
    </w:p>
    <w:sectPr w:rsidR="009C6CE8"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715" w:rsidRDefault="00AF2715" w:rsidP="009A2CBA">
      <w:r>
        <w:separator/>
      </w:r>
    </w:p>
  </w:endnote>
  <w:endnote w:type="continuationSeparator" w:id="0">
    <w:p w:rsidR="00AF2715" w:rsidRDefault="00AF2715"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66" w:rsidRDefault="008B19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Default="005A74C3" w:rsidP="000421B5">
    <w:pPr>
      <w:pStyle w:val="Footer"/>
    </w:pPr>
    <w:r>
      <w:tab/>
    </w:r>
    <w:fldSimple w:instr=" PAGE   \* MERGEFORMAT ">
      <w:r w:rsidR="000F79F2">
        <w:rPr>
          <w:noProof/>
        </w:rPr>
        <w:t>2</w:t>
      </w:r>
    </w:fldSimple>
  </w:p>
  <w:p w:rsidR="005A74C3" w:rsidRPr="00911FE4" w:rsidRDefault="008B1966" w:rsidP="000421B5">
    <w:pPr>
      <w:pStyle w:val="Footer"/>
      <w:rPr>
        <w:rStyle w:val="DocID"/>
      </w:rPr>
    </w:pPr>
    <w:r w:rsidRPr="008B1966">
      <w:rPr>
        <w:rStyle w:val="DocID"/>
      </w:rPr>
      <w:t>#11683302_v1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74C3" w:rsidRPr="00911FE4" w:rsidRDefault="00B0334C" w:rsidP="000421B5">
    <w:pPr>
      <w:pStyle w:val="Footer"/>
      <w:rPr>
        <w:rStyle w:val="DocID"/>
      </w:rPr>
    </w:pPr>
    <w:r>
      <w:rPr>
        <w:sz w:val="20"/>
      </w:rPr>
      <w:fldChar w:fldCharType="begin"/>
    </w:r>
    <w:r w:rsidR="005A74C3">
      <w:rPr>
        <w:sz w:val="20"/>
      </w:rPr>
      <w:instrText xml:space="preserve"> If </w:instrText>
    </w:r>
    <w:r>
      <w:rPr>
        <w:sz w:val="20"/>
      </w:rPr>
      <w:fldChar w:fldCharType="begin"/>
    </w:r>
    <w:r w:rsidR="005A74C3">
      <w:rPr>
        <w:sz w:val="20"/>
      </w:rPr>
      <w:instrText xml:space="preserve"> numpages </w:instrText>
    </w:r>
    <w:r>
      <w:rPr>
        <w:sz w:val="20"/>
      </w:rPr>
      <w:fldChar w:fldCharType="separate"/>
    </w:r>
    <w:r w:rsidR="000F79F2">
      <w:rPr>
        <w:noProof/>
        <w:sz w:val="20"/>
      </w:rPr>
      <w:instrText>1</w:instrText>
    </w:r>
    <w:r>
      <w:rPr>
        <w:sz w:val="20"/>
      </w:rPr>
      <w:fldChar w:fldCharType="end"/>
    </w:r>
    <w:r w:rsidR="005A74C3">
      <w:rPr>
        <w:sz w:val="20"/>
      </w:rPr>
      <w:instrText xml:space="preserve"> = 1 </w:instrText>
    </w:r>
    <w:r w:rsidR="005A74C3" w:rsidRPr="00074EDF">
      <w:rPr>
        <w:rStyle w:val="DocID"/>
      </w:rPr>
      <w:instrText>#9751992_v1</w:instrText>
    </w:r>
    <w:r w:rsidR="005A74C3">
      <w:instrText xml:space="preserve"> ""</w:instrText>
    </w:r>
    <w:r w:rsidR="005A74C3">
      <w:rPr>
        <w:sz w:val="20"/>
      </w:rPr>
      <w:instrText xml:space="preserve"> </w:instrText>
    </w:r>
    <w:r w:rsidR="000F79F2">
      <w:rPr>
        <w:sz w:val="20"/>
      </w:rPr>
      <w:fldChar w:fldCharType="separate"/>
    </w:r>
    <w:r w:rsidR="000F79F2" w:rsidRPr="00074EDF">
      <w:rPr>
        <w:rStyle w:val="DocID"/>
        <w:noProof/>
      </w:rPr>
      <w:t>#9751992_v1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715" w:rsidRDefault="00AF2715" w:rsidP="009A2CBA">
      <w:r>
        <w:separator/>
      </w:r>
    </w:p>
  </w:footnote>
  <w:footnote w:type="continuationSeparator" w:id="0">
    <w:p w:rsidR="00AF2715" w:rsidRDefault="00AF2715" w:rsidP="009A2CBA">
      <w:r>
        <w:continuationSeparator/>
      </w:r>
    </w:p>
  </w:footnote>
  <w:footnote w:id="1">
    <w:p w:rsidR="005A74C3" w:rsidRDefault="005A74C3" w:rsidP="00EF1953">
      <w:pPr>
        <w:pStyle w:val="BlockText"/>
      </w:pPr>
      <w:r>
        <w:rPr>
          <w:rStyle w:val="FootnoteReference"/>
        </w:rPr>
        <w:footnoteRef/>
      </w:r>
      <w:r>
        <w:t xml:space="preserve"> In the case of all Petitions for Declaratory Statement filed with the Florida Building Commission, which normally meets every other month, the commission requires both a First Reading and a Second Reading at different meetings, with the results that any final action thereon requires at least 74-75 days, depending on the timing of the filing in relationship to the required publication dates for the Friday Florida Administrativ</w:t>
      </w:r>
      <w:r w:rsidR="00441CD1">
        <w:t>e Register</w:t>
      </w:r>
      <w:r>
        <w:t>.</w:t>
      </w:r>
    </w:p>
    <w:p w:rsidR="005A74C3" w:rsidRDefault="005A74C3">
      <w:pPr>
        <w:pStyle w:val="FootnoteText"/>
      </w:pPr>
    </w:p>
  </w:footnote>
  <w:footnote w:id="2">
    <w:p w:rsidR="005A74C3" w:rsidRPr="0038047E" w:rsidRDefault="005A74C3" w:rsidP="0038047E">
      <w:pPr>
        <w:pStyle w:val="BlockText"/>
      </w:pPr>
      <w:r>
        <w:rPr>
          <w:rStyle w:val="FootnoteReference"/>
        </w:rPr>
        <w:footnoteRef/>
      </w:r>
      <w:r>
        <w:t xml:space="preserve"> </w:t>
      </w:r>
      <w:r w:rsidRPr="0038047E">
        <w:t xml:space="preserve">As part of the TRANSFER of this commission from the now-defunct Department of Community Affairs to the Department of Business and Professional Regulation, all rules from </w:t>
      </w:r>
      <w:r w:rsidR="000324B5">
        <w:t xml:space="preserve">former </w:t>
      </w:r>
      <w:r w:rsidRPr="0038047E">
        <w:t>Chapter 9N have been TRANSFERRED to Chapter 61G20, FAC.</w:t>
      </w:r>
    </w:p>
    <w:p w:rsidR="005A74C3" w:rsidRDefault="005A74C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66" w:rsidRDefault="008B19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66" w:rsidRDefault="008B19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966" w:rsidRDefault="008B19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4"/>
  </w:num>
  <w:num w:numId="3">
    <w:abstractNumId w:val="0"/>
  </w:num>
  <w:num w:numId="4">
    <w:abstractNumId w:val="10"/>
  </w:num>
  <w:num w:numId="5">
    <w:abstractNumId w:val="37"/>
  </w:num>
  <w:num w:numId="6">
    <w:abstractNumId w:val="30"/>
  </w:num>
  <w:num w:numId="7">
    <w:abstractNumId w:val="28"/>
  </w:num>
  <w:num w:numId="8">
    <w:abstractNumId w:val="45"/>
  </w:num>
  <w:num w:numId="9">
    <w:abstractNumId w:val="29"/>
  </w:num>
  <w:num w:numId="10">
    <w:abstractNumId w:val="6"/>
  </w:num>
  <w:num w:numId="11">
    <w:abstractNumId w:val="5"/>
  </w:num>
  <w:num w:numId="12">
    <w:abstractNumId w:val="8"/>
  </w:num>
  <w:num w:numId="13">
    <w:abstractNumId w:val="19"/>
  </w:num>
  <w:num w:numId="14">
    <w:abstractNumId w:val="36"/>
  </w:num>
  <w:num w:numId="15">
    <w:abstractNumId w:val="41"/>
  </w:num>
  <w:num w:numId="16">
    <w:abstractNumId w:val="43"/>
  </w:num>
  <w:num w:numId="17">
    <w:abstractNumId w:val="32"/>
  </w:num>
  <w:num w:numId="18">
    <w:abstractNumId w:val="9"/>
  </w:num>
  <w:num w:numId="19">
    <w:abstractNumId w:val="39"/>
  </w:num>
  <w:num w:numId="20">
    <w:abstractNumId w:val="44"/>
  </w:num>
  <w:num w:numId="21">
    <w:abstractNumId w:val="31"/>
  </w:num>
  <w:num w:numId="22">
    <w:abstractNumId w:val="46"/>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8"/>
  </w:num>
  <w:num w:numId="38">
    <w:abstractNumId w:val="42"/>
  </w:num>
  <w:num w:numId="39">
    <w:abstractNumId w:val="40"/>
  </w:num>
  <w:num w:numId="40">
    <w:abstractNumId w:val="35"/>
  </w:num>
  <w:num w:numId="41">
    <w:abstractNumId w:val="33"/>
  </w:num>
  <w:num w:numId="42">
    <w:abstractNumId w:val="14"/>
  </w:num>
  <w:num w:numId="43">
    <w:abstractNumId w:val="26"/>
  </w:num>
  <w:num w:numId="44">
    <w:abstractNumId w:val="20"/>
  </w:num>
  <w:num w:numId="45">
    <w:abstractNumId w:val="15"/>
  </w:num>
  <w:num w:numId="46">
    <w:abstractNumId w:val="4"/>
  </w:num>
  <w:num w:numId="47">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3164"/>
    <w:rsid w:val="00016A29"/>
    <w:rsid w:val="00026C6B"/>
    <w:rsid w:val="00027FC3"/>
    <w:rsid w:val="000302BC"/>
    <w:rsid w:val="000324B5"/>
    <w:rsid w:val="000341ED"/>
    <w:rsid w:val="000421B5"/>
    <w:rsid w:val="0005012E"/>
    <w:rsid w:val="000509E7"/>
    <w:rsid w:val="00054D0D"/>
    <w:rsid w:val="0005515D"/>
    <w:rsid w:val="00055700"/>
    <w:rsid w:val="00074EDF"/>
    <w:rsid w:val="00084298"/>
    <w:rsid w:val="000A3246"/>
    <w:rsid w:val="000A4BA4"/>
    <w:rsid w:val="000B0E17"/>
    <w:rsid w:val="000B1DDB"/>
    <w:rsid w:val="000B76DD"/>
    <w:rsid w:val="000D2555"/>
    <w:rsid w:val="000E17E8"/>
    <w:rsid w:val="000E6D1A"/>
    <w:rsid w:val="000F6911"/>
    <w:rsid w:val="000F79F2"/>
    <w:rsid w:val="00100E22"/>
    <w:rsid w:val="00103CDF"/>
    <w:rsid w:val="00107362"/>
    <w:rsid w:val="00110D3B"/>
    <w:rsid w:val="001114F7"/>
    <w:rsid w:val="001148B5"/>
    <w:rsid w:val="001156AF"/>
    <w:rsid w:val="00117224"/>
    <w:rsid w:val="00117544"/>
    <w:rsid w:val="00126ABD"/>
    <w:rsid w:val="0013367A"/>
    <w:rsid w:val="00135B1C"/>
    <w:rsid w:val="00146E4E"/>
    <w:rsid w:val="001476D7"/>
    <w:rsid w:val="00151720"/>
    <w:rsid w:val="00151F43"/>
    <w:rsid w:val="00156092"/>
    <w:rsid w:val="001572A8"/>
    <w:rsid w:val="00172C04"/>
    <w:rsid w:val="00175923"/>
    <w:rsid w:val="0019065B"/>
    <w:rsid w:val="001963BC"/>
    <w:rsid w:val="001B11FD"/>
    <w:rsid w:val="001B5A99"/>
    <w:rsid w:val="001B6195"/>
    <w:rsid w:val="001B73F6"/>
    <w:rsid w:val="001D1B70"/>
    <w:rsid w:val="001D25D1"/>
    <w:rsid w:val="001D50A8"/>
    <w:rsid w:val="001E327E"/>
    <w:rsid w:val="001F01B4"/>
    <w:rsid w:val="001F18CD"/>
    <w:rsid w:val="001F7DB9"/>
    <w:rsid w:val="00200951"/>
    <w:rsid w:val="00210263"/>
    <w:rsid w:val="00221926"/>
    <w:rsid w:val="00221AAE"/>
    <w:rsid w:val="00222C12"/>
    <w:rsid w:val="002236E8"/>
    <w:rsid w:val="0022445A"/>
    <w:rsid w:val="00227443"/>
    <w:rsid w:val="002348A5"/>
    <w:rsid w:val="002363CA"/>
    <w:rsid w:val="00236AB0"/>
    <w:rsid w:val="00237AEC"/>
    <w:rsid w:val="00243FF8"/>
    <w:rsid w:val="00246D22"/>
    <w:rsid w:val="00251EB1"/>
    <w:rsid w:val="00252DC4"/>
    <w:rsid w:val="00262A25"/>
    <w:rsid w:val="002630F7"/>
    <w:rsid w:val="00274276"/>
    <w:rsid w:val="002857BE"/>
    <w:rsid w:val="00286558"/>
    <w:rsid w:val="00290B6F"/>
    <w:rsid w:val="0029168D"/>
    <w:rsid w:val="002921B3"/>
    <w:rsid w:val="00294F80"/>
    <w:rsid w:val="002A4DD8"/>
    <w:rsid w:val="002B0DFC"/>
    <w:rsid w:val="002B3E98"/>
    <w:rsid w:val="002B78B0"/>
    <w:rsid w:val="002C378F"/>
    <w:rsid w:val="002C5E1D"/>
    <w:rsid w:val="002D1599"/>
    <w:rsid w:val="002D4362"/>
    <w:rsid w:val="002E2A6D"/>
    <w:rsid w:val="002F015B"/>
    <w:rsid w:val="002F16B3"/>
    <w:rsid w:val="00305D83"/>
    <w:rsid w:val="00305FDE"/>
    <w:rsid w:val="00311BC1"/>
    <w:rsid w:val="003134D3"/>
    <w:rsid w:val="0031487D"/>
    <w:rsid w:val="003239B0"/>
    <w:rsid w:val="0032598E"/>
    <w:rsid w:val="003319A7"/>
    <w:rsid w:val="003376F7"/>
    <w:rsid w:val="00340637"/>
    <w:rsid w:val="00340740"/>
    <w:rsid w:val="00345235"/>
    <w:rsid w:val="003473F4"/>
    <w:rsid w:val="003563EF"/>
    <w:rsid w:val="00376DA1"/>
    <w:rsid w:val="0038047E"/>
    <w:rsid w:val="00383EFB"/>
    <w:rsid w:val="00384141"/>
    <w:rsid w:val="00385904"/>
    <w:rsid w:val="003A1E91"/>
    <w:rsid w:val="003A33A5"/>
    <w:rsid w:val="003A4FB0"/>
    <w:rsid w:val="003B5B30"/>
    <w:rsid w:val="003C09F0"/>
    <w:rsid w:val="003C265E"/>
    <w:rsid w:val="003C50CC"/>
    <w:rsid w:val="003D34DF"/>
    <w:rsid w:val="003D6EAC"/>
    <w:rsid w:val="003E13A7"/>
    <w:rsid w:val="003F5F1A"/>
    <w:rsid w:val="00416C25"/>
    <w:rsid w:val="004200FB"/>
    <w:rsid w:val="00425FE8"/>
    <w:rsid w:val="004406AC"/>
    <w:rsid w:val="00441CD1"/>
    <w:rsid w:val="00454846"/>
    <w:rsid w:val="0045543B"/>
    <w:rsid w:val="004634BE"/>
    <w:rsid w:val="00465432"/>
    <w:rsid w:val="0047003F"/>
    <w:rsid w:val="00474D96"/>
    <w:rsid w:val="00484B9C"/>
    <w:rsid w:val="00492027"/>
    <w:rsid w:val="004A0671"/>
    <w:rsid w:val="004A451E"/>
    <w:rsid w:val="004A5613"/>
    <w:rsid w:val="004A582F"/>
    <w:rsid w:val="004A6E9B"/>
    <w:rsid w:val="004B196B"/>
    <w:rsid w:val="004C458B"/>
    <w:rsid w:val="004C63D8"/>
    <w:rsid w:val="004E35D0"/>
    <w:rsid w:val="004E61C2"/>
    <w:rsid w:val="004F030C"/>
    <w:rsid w:val="004F3D87"/>
    <w:rsid w:val="00500503"/>
    <w:rsid w:val="00504537"/>
    <w:rsid w:val="00512724"/>
    <w:rsid w:val="00520F5E"/>
    <w:rsid w:val="005237C4"/>
    <w:rsid w:val="00535353"/>
    <w:rsid w:val="00535A2B"/>
    <w:rsid w:val="005463F4"/>
    <w:rsid w:val="00553CBE"/>
    <w:rsid w:val="00555FBF"/>
    <w:rsid w:val="005A61CC"/>
    <w:rsid w:val="005A74C3"/>
    <w:rsid w:val="005B212C"/>
    <w:rsid w:val="005B2CCD"/>
    <w:rsid w:val="005B558F"/>
    <w:rsid w:val="005C08FA"/>
    <w:rsid w:val="005C40F9"/>
    <w:rsid w:val="005C5CFC"/>
    <w:rsid w:val="005D217B"/>
    <w:rsid w:val="005D5F3E"/>
    <w:rsid w:val="005F17D4"/>
    <w:rsid w:val="005F1FB3"/>
    <w:rsid w:val="005F4A79"/>
    <w:rsid w:val="005F705E"/>
    <w:rsid w:val="005F770C"/>
    <w:rsid w:val="00600D46"/>
    <w:rsid w:val="0060730E"/>
    <w:rsid w:val="00614279"/>
    <w:rsid w:val="00620CC5"/>
    <w:rsid w:val="0063517A"/>
    <w:rsid w:val="0064458E"/>
    <w:rsid w:val="00644BDC"/>
    <w:rsid w:val="0064574F"/>
    <w:rsid w:val="006465C5"/>
    <w:rsid w:val="00654846"/>
    <w:rsid w:val="006577D7"/>
    <w:rsid w:val="00660F73"/>
    <w:rsid w:val="00667D54"/>
    <w:rsid w:val="00675E10"/>
    <w:rsid w:val="00685808"/>
    <w:rsid w:val="00697F28"/>
    <w:rsid w:val="006A3A6B"/>
    <w:rsid w:val="006B1D63"/>
    <w:rsid w:val="006B60DD"/>
    <w:rsid w:val="006D3AD0"/>
    <w:rsid w:val="006D7744"/>
    <w:rsid w:val="006E5C27"/>
    <w:rsid w:val="006F336C"/>
    <w:rsid w:val="007017B0"/>
    <w:rsid w:val="0070218E"/>
    <w:rsid w:val="007065A1"/>
    <w:rsid w:val="007135EE"/>
    <w:rsid w:val="007150E1"/>
    <w:rsid w:val="00722B80"/>
    <w:rsid w:val="00774A2B"/>
    <w:rsid w:val="007755F6"/>
    <w:rsid w:val="00780CCE"/>
    <w:rsid w:val="007862BD"/>
    <w:rsid w:val="00793514"/>
    <w:rsid w:val="007977D0"/>
    <w:rsid w:val="007A040E"/>
    <w:rsid w:val="007A2C34"/>
    <w:rsid w:val="007A7335"/>
    <w:rsid w:val="007B455D"/>
    <w:rsid w:val="007C3596"/>
    <w:rsid w:val="007E128E"/>
    <w:rsid w:val="007E4176"/>
    <w:rsid w:val="007F2F12"/>
    <w:rsid w:val="007F6E51"/>
    <w:rsid w:val="00801B02"/>
    <w:rsid w:val="00812FF0"/>
    <w:rsid w:val="00820D75"/>
    <w:rsid w:val="00821688"/>
    <w:rsid w:val="008219AB"/>
    <w:rsid w:val="0082467E"/>
    <w:rsid w:val="008271F6"/>
    <w:rsid w:val="00832281"/>
    <w:rsid w:val="00832A42"/>
    <w:rsid w:val="0083319A"/>
    <w:rsid w:val="00833649"/>
    <w:rsid w:val="008642DB"/>
    <w:rsid w:val="00864F61"/>
    <w:rsid w:val="008667F9"/>
    <w:rsid w:val="008714D7"/>
    <w:rsid w:val="00875906"/>
    <w:rsid w:val="00883771"/>
    <w:rsid w:val="0089089A"/>
    <w:rsid w:val="008A4467"/>
    <w:rsid w:val="008A7FFE"/>
    <w:rsid w:val="008B06DE"/>
    <w:rsid w:val="008B10F9"/>
    <w:rsid w:val="008B1966"/>
    <w:rsid w:val="008B6B8E"/>
    <w:rsid w:val="008B6F95"/>
    <w:rsid w:val="008C0D2B"/>
    <w:rsid w:val="008C44B6"/>
    <w:rsid w:val="008C4CD7"/>
    <w:rsid w:val="008C57F6"/>
    <w:rsid w:val="008C6567"/>
    <w:rsid w:val="008D5528"/>
    <w:rsid w:val="008D7EAD"/>
    <w:rsid w:val="009008DD"/>
    <w:rsid w:val="0090334E"/>
    <w:rsid w:val="009037AF"/>
    <w:rsid w:val="00912B18"/>
    <w:rsid w:val="00913DE9"/>
    <w:rsid w:val="00922A6D"/>
    <w:rsid w:val="00927A0D"/>
    <w:rsid w:val="00927EF0"/>
    <w:rsid w:val="00933C83"/>
    <w:rsid w:val="00936542"/>
    <w:rsid w:val="00937943"/>
    <w:rsid w:val="00940447"/>
    <w:rsid w:val="009408A6"/>
    <w:rsid w:val="00944330"/>
    <w:rsid w:val="009459C3"/>
    <w:rsid w:val="0095190E"/>
    <w:rsid w:val="00952158"/>
    <w:rsid w:val="00952ED0"/>
    <w:rsid w:val="009615F7"/>
    <w:rsid w:val="0096439D"/>
    <w:rsid w:val="009679F7"/>
    <w:rsid w:val="00972224"/>
    <w:rsid w:val="0098369B"/>
    <w:rsid w:val="00990086"/>
    <w:rsid w:val="009939EF"/>
    <w:rsid w:val="00994DC4"/>
    <w:rsid w:val="009A1012"/>
    <w:rsid w:val="009A10B6"/>
    <w:rsid w:val="009A2CBA"/>
    <w:rsid w:val="009B2454"/>
    <w:rsid w:val="009B472E"/>
    <w:rsid w:val="009B53D8"/>
    <w:rsid w:val="009B7504"/>
    <w:rsid w:val="009C6CE8"/>
    <w:rsid w:val="009C6F42"/>
    <w:rsid w:val="009E1F25"/>
    <w:rsid w:val="009E489B"/>
    <w:rsid w:val="009F3454"/>
    <w:rsid w:val="00A03908"/>
    <w:rsid w:val="00A05724"/>
    <w:rsid w:val="00A23BA0"/>
    <w:rsid w:val="00A24F93"/>
    <w:rsid w:val="00A3799B"/>
    <w:rsid w:val="00A413D5"/>
    <w:rsid w:val="00A47BAD"/>
    <w:rsid w:val="00A47D5F"/>
    <w:rsid w:val="00A52BEC"/>
    <w:rsid w:val="00A57777"/>
    <w:rsid w:val="00A862A4"/>
    <w:rsid w:val="00A92BA2"/>
    <w:rsid w:val="00A9360E"/>
    <w:rsid w:val="00A973D9"/>
    <w:rsid w:val="00AA1C3B"/>
    <w:rsid w:val="00AA20DC"/>
    <w:rsid w:val="00AA2435"/>
    <w:rsid w:val="00AA49B9"/>
    <w:rsid w:val="00AB6124"/>
    <w:rsid w:val="00AB7A77"/>
    <w:rsid w:val="00AC560D"/>
    <w:rsid w:val="00AD19E4"/>
    <w:rsid w:val="00AD3673"/>
    <w:rsid w:val="00AD4A48"/>
    <w:rsid w:val="00AE0C03"/>
    <w:rsid w:val="00AE40E2"/>
    <w:rsid w:val="00AE4928"/>
    <w:rsid w:val="00AF2715"/>
    <w:rsid w:val="00AF4CC5"/>
    <w:rsid w:val="00B0334C"/>
    <w:rsid w:val="00B04E9C"/>
    <w:rsid w:val="00B11BE8"/>
    <w:rsid w:val="00B1354A"/>
    <w:rsid w:val="00B34CB8"/>
    <w:rsid w:val="00B43413"/>
    <w:rsid w:val="00B51F07"/>
    <w:rsid w:val="00B55AA9"/>
    <w:rsid w:val="00B605B3"/>
    <w:rsid w:val="00B6409D"/>
    <w:rsid w:val="00B65A78"/>
    <w:rsid w:val="00B70EED"/>
    <w:rsid w:val="00B7209C"/>
    <w:rsid w:val="00B75D21"/>
    <w:rsid w:val="00B82AFD"/>
    <w:rsid w:val="00B82F44"/>
    <w:rsid w:val="00B854DA"/>
    <w:rsid w:val="00B901A9"/>
    <w:rsid w:val="00B94BF6"/>
    <w:rsid w:val="00BA5910"/>
    <w:rsid w:val="00BB3CE8"/>
    <w:rsid w:val="00BB43FD"/>
    <w:rsid w:val="00BC3ED9"/>
    <w:rsid w:val="00BC5032"/>
    <w:rsid w:val="00BD0579"/>
    <w:rsid w:val="00BD1D69"/>
    <w:rsid w:val="00BE7E71"/>
    <w:rsid w:val="00BF06EC"/>
    <w:rsid w:val="00BF5744"/>
    <w:rsid w:val="00BF5A88"/>
    <w:rsid w:val="00C00519"/>
    <w:rsid w:val="00C0615F"/>
    <w:rsid w:val="00C10CCD"/>
    <w:rsid w:val="00C10FB4"/>
    <w:rsid w:val="00C15A97"/>
    <w:rsid w:val="00C16757"/>
    <w:rsid w:val="00C17A11"/>
    <w:rsid w:val="00C41104"/>
    <w:rsid w:val="00C42CAD"/>
    <w:rsid w:val="00C46B9E"/>
    <w:rsid w:val="00C527C3"/>
    <w:rsid w:val="00C552DE"/>
    <w:rsid w:val="00C55BAE"/>
    <w:rsid w:val="00C613B0"/>
    <w:rsid w:val="00C666BD"/>
    <w:rsid w:val="00C71560"/>
    <w:rsid w:val="00C80F74"/>
    <w:rsid w:val="00C83934"/>
    <w:rsid w:val="00C8621F"/>
    <w:rsid w:val="00CA1872"/>
    <w:rsid w:val="00CA1D5A"/>
    <w:rsid w:val="00CA5910"/>
    <w:rsid w:val="00CA6A88"/>
    <w:rsid w:val="00CB0D76"/>
    <w:rsid w:val="00CB18D5"/>
    <w:rsid w:val="00CB393B"/>
    <w:rsid w:val="00CD02EB"/>
    <w:rsid w:val="00CF2384"/>
    <w:rsid w:val="00CF2DBD"/>
    <w:rsid w:val="00CF37B7"/>
    <w:rsid w:val="00CF7C33"/>
    <w:rsid w:val="00D15049"/>
    <w:rsid w:val="00D17EF8"/>
    <w:rsid w:val="00D31E05"/>
    <w:rsid w:val="00D35E4B"/>
    <w:rsid w:val="00D42313"/>
    <w:rsid w:val="00D45220"/>
    <w:rsid w:val="00D51EF8"/>
    <w:rsid w:val="00D532DF"/>
    <w:rsid w:val="00D5683A"/>
    <w:rsid w:val="00D6075F"/>
    <w:rsid w:val="00D64A8A"/>
    <w:rsid w:val="00D64ACA"/>
    <w:rsid w:val="00D74A8F"/>
    <w:rsid w:val="00D8155F"/>
    <w:rsid w:val="00D83830"/>
    <w:rsid w:val="00D8408A"/>
    <w:rsid w:val="00D85984"/>
    <w:rsid w:val="00D92897"/>
    <w:rsid w:val="00D9374F"/>
    <w:rsid w:val="00D96664"/>
    <w:rsid w:val="00D9771C"/>
    <w:rsid w:val="00D97BF8"/>
    <w:rsid w:val="00DA399C"/>
    <w:rsid w:val="00DA5E85"/>
    <w:rsid w:val="00DB1B72"/>
    <w:rsid w:val="00DD18B8"/>
    <w:rsid w:val="00DD3ECB"/>
    <w:rsid w:val="00DD5BF9"/>
    <w:rsid w:val="00DD760C"/>
    <w:rsid w:val="00DE0FB7"/>
    <w:rsid w:val="00DE3DD6"/>
    <w:rsid w:val="00DE517B"/>
    <w:rsid w:val="00DE5A5D"/>
    <w:rsid w:val="00DF0B84"/>
    <w:rsid w:val="00DF255F"/>
    <w:rsid w:val="00DF4C21"/>
    <w:rsid w:val="00E07E81"/>
    <w:rsid w:val="00E10E84"/>
    <w:rsid w:val="00E16D83"/>
    <w:rsid w:val="00E30C2C"/>
    <w:rsid w:val="00E311DC"/>
    <w:rsid w:val="00E31752"/>
    <w:rsid w:val="00E3534A"/>
    <w:rsid w:val="00E4082C"/>
    <w:rsid w:val="00E4444A"/>
    <w:rsid w:val="00E576B4"/>
    <w:rsid w:val="00E66470"/>
    <w:rsid w:val="00E71BDF"/>
    <w:rsid w:val="00E8267C"/>
    <w:rsid w:val="00E95DE1"/>
    <w:rsid w:val="00E97E26"/>
    <w:rsid w:val="00EA1B72"/>
    <w:rsid w:val="00EA3A1A"/>
    <w:rsid w:val="00EA49A8"/>
    <w:rsid w:val="00EB0314"/>
    <w:rsid w:val="00EB2DD7"/>
    <w:rsid w:val="00EB56F6"/>
    <w:rsid w:val="00EB61E2"/>
    <w:rsid w:val="00EC0471"/>
    <w:rsid w:val="00EC3C0E"/>
    <w:rsid w:val="00EC539A"/>
    <w:rsid w:val="00ED39C3"/>
    <w:rsid w:val="00EE41E2"/>
    <w:rsid w:val="00EF1953"/>
    <w:rsid w:val="00EF2D9E"/>
    <w:rsid w:val="00EF3BC8"/>
    <w:rsid w:val="00EF7F7D"/>
    <w:rsid w:val="00F003DC"/>
    <w:rsid w:val="00F023FE"/>
    <w:rsid w:val="00F0773C"/>
    <w:rsid w:val="00F10ABD"/>
    <w:rsid w:val="00F1558B"/>
    <w:rsid w:val="00F15B84"/>
    <w:rsid w:val="00F16CBD"/>
    <w:rsid w:val="00F17078"/>
    <w:rsid w:val="00F21394"/>
    <w:rsid w:val="00F33F66"/>
    <w:rsid w:val="00F372CE"/>
    <w:rsid w:val="00F4233A"/>
    <w:rsid w:val="00F43272"/>
    <w:rsid w:val="00F50B67"/>
    <w:rsid w:val="00F52831"/>
    <w:rsid w:val="00F53B73"/>
    <w:rsid w:val="00F53D3E"/>
    <w:rsid w:val="00F56C3E"/>
    <w:rsid w:val="00F60C95"/>
    <w:rsid w:val="00F61714"/>
    <w:rsid w:val="00F7015E"/>
    <w:rsid w:val="00F7297C"/>
    <w:rsid w:val="00F828AE"/>
    <w:rsid w:val="00F85ED6"/>
    <w:rsid w:val="00F91098"/>
    <w:rsid w:val="00F9398C"/>
    <w:rsid w:val="00F9535D"/>
    <w:rsid w:val="00F97BF7"/>
    <w:rsid w:val="00FA2710"/>
    <w:rsid w:val="00FA5090"/>
    <w:rsid w:val="00FB554A"/>
    <w:rsid w:val="00FB588A"/>
    <w:rsid w:val="00FC0694"/>
    <w:rsid w:val="00FC6F29"/>
    <w:rsid w:val="00FD1341"/>
    <w:rsid w:val="00FE3AE2"/>
    <w:rsid w:val="00FF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2463</Words>
  <Characters>13556</Characters>
  <Application>Microsoft Office Word</Application>
  <DocSecurity>0</DocSecurity>
  <Lines>308</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15973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2012-12-08T20:29:00Z</cp:lastPrinted>
  <dcterms:created xsi:type="dcterms:W3CDTF">2012-12-08T20:31:00Z</dcterms:created>
  <dcterms:modified xsi:type="dcterms:W3CDTF">2012-12-08T20:31:00Z</dcterms:modified>
  <cp:category> </cp:category>
  <cp:contentStatus> </cp:contentStatus>
</cp:coreProperties>
</file>