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013164">
        <w:t>: September</w:t>
      </w:r>
      <w:r w:rsidR="006B60DD">
        <w:t xml:space="preserve"> </w:t>
      </w:r>
      <w:r w:rsidR="00944330">
        <w:t>2012</w:t>
      </w:r>
    </w:p>
    <w:p w:rsidR="00D9771C" w:rsidRDefault="00D9771C" w:rsidP="00F9535D">
      <w:pPr>
        <w:pStyle w:val="BlockText"/>
      </w:pPr>
    </w:p>
    <w:p w:rsidR="00013164" w:rsidRDefault="00D9771C" w:rsidP="00D9771C">
      <w:pPr>
        <w:pStyle w:val="BlockText"/>
        <w:rPr>
          <w:b/>
          <w:u w:val="single"/>
        </w:rPr>
      </w:pPr>
      <w:r w:rsidRPr="00D9771C">
        <w:rPr>
          <w:b/>
          <w:u w:val="single"/>
        </w:rPr>
        <w:t>Appellate Decisions:</w:t>
      </w:r>
    </w:p>
    <w:p w:rsidR="00013164" w:rsidRDefault="00013164" w:rsidP="00D9771C">
      <w:pPr>
        <w:pStyle w:val="BlockText"/>
        <w:rPr>
          <w:b/>
          <w:u w:val="single"/>
        </w:rPr>
      </w:pPr>
    </w:p>
    <w:p w:rsidR="00553CBE" w:rsidRDefault="005F705E" w:rsidP="003D6EAC">
      <w:pPr>
        <w:pStyle w:val="BlockText"/>
        <w:ind w:firstLine="720"/>
      </w:pPr>
      <w:r w:rsidRPr="005F705E">
        <w:rPr>
          <w:i/>
          <w:u w:val="single"/>
        </w:rPr>
        <w:t>Continental</w:t>
      </w:r>
      <w:r w:rsidR="00013164" w:rsidRPr="005F705E">
        <w:rPr>
          <w:i/>
          <w:u w:val="single"/>
        </w:rPr>
        <w:t xml:space="preserve"> Casualty Company v. A. W. Baylor Versapanel Plastering, Inc.</w:t>
      </w:r>
      <w:r w:rsidR="00013164">
        <w:rPr>
          <w:i/>
        </w:rPr>
        <w:t xml:space="preserve">, </w:t>
      </w:r>
      <w:r w:rsidR="00013164">
        <w:t>37 Fla. L. Weekly D2167a</w:t>
      </w:r>
      <w:r w:rsidR="00BF06EC">
        <w:t xml:space="preserve">, </w:t>
      </w:r>
      <w:r w:rsidR="00013164">
        <w:t>Case No. 5D11-3523</w:t>
      </w:r>
      <w:r w:rsidR="00CF2DBD">
        <w:t xml:space="preserve">, </w:t>
      </w:r>
      <w:r w:rsidR="00013164">
        <w:t>filed on September 7</w:t>
      </w:r>
      <w:r w:rsidR="00BF06EC">
        <w:t xml:space="preserve">, 2012. </w:t>
      </w:r>
      <w:r w:rsidR="003D6EAC">
        <w:t>Arbitration panel declined to award attorney’s fees pursuant to section 713.29, finding that neither party to an action to enforce a private payment bond action. Trial court awarded fees to successful subcontractor claimant under sections 627.756 and 627.428, which apply generally to actions against insurance and bonding companies. On appeal, this order was reversed and the court concluded that the more specific statute, section 713.29, applied.</w:t>
      </w:r>
    </w:p>
    <w:p w:rsidR="003D6EAC" w:rsidRDefault="003D6EAC" w:rsidP="003D6EAC">
      <w:pPr>
        <w:pStyle w:val="BlockText"/>
      </w:pPr>
      <w:r w:rsidRPr="003D6EAC">
        <w:rPr>
          <w:u w:val="single"/>
        </w:rPr>
        <w:t>Editor’s Note:</w:t>
      </w:r>
      <w:r>
        <w:t xml:space="preserve"> Pre-arbitration, the parties had agreed that the determination of entitlement and amount of attorney fees was governed by section 713.29. In addition, the amount of the damages awarded were “far less” than the amount of the subcontractor’s claim.</w:t>
      </w:r>
    </w:p>
    <w:p w:rsidR="003D6EAC" w:rsidRDefault="003D6EAC" w:rsidP="003D6EAC">
      <w:pPr>
        <w:pStyle w:val="BlockText"/>
      </w:pPr>
    </w:p>
    <w:p w:rsidR="003D6EAC" w:rsidRDefault="003D6EAC" w:rsidP="003D6EAC">
      <w:pPr>
        <w:pStyle w:val="BlockText"/>
      </w:pPr>
      <w:r>
        <w:tab/>
      </w:r>
      <w:r>
        <w:rPr>
          <w:i/>
          <w:u w:val="single"/>
        </w:rPr>
        <w:t xml:space="preserve">Florida Board of Professional Engineers v. Joseph Rickett, </w:t>
      </w:r>
      <w:r>
        <w:t xml:space="preserve">37 Fla. L. Weekly D2153b, Case No. 1D12-3108, filed September 7, 2012. In the course of a rule challenge administrative proceeding, the Administrative Law Judge denied the board’s motion to quash a subpoena issued </w:t>
      </w:r>
      <w:r w:rsidR="00E8267C">
        <w:t>to a board member</w:t>
      </w:r>
      <w:r>
        <w:t xml:space="preserve"> who served on a probable cause panel in a prior disciplinary case. On appeal, per curiam</w:t>
      </w:r>
      <w:r w:rsidR="001B5A99">
        <w:t>, denied review of this non-final order. In a concurring opinion Judge Wetherell explained his position that the board had failed to meet its burden of establishing that the order departed from the essential requirements of law and caused material injury that couldn’t be remedied on appeal from any final order, while also expressing concern that the testimony would no involve irrelevant or confidential matters related to a collateral attack on any particular disciplinary case.</w:t>
      </w:r>
    </w:p>
    <w:p w:rsidR="001B5A99" w:rsidRDefault="001B5A99" w:rsidP="003D6EAC">
      <w:pPr>
        <w:pStyle w:val="BlockText"/>
      </w:pPr>
    </w:p>
    <w:p w:rsidR="005B558F" w:rsidRPr="005B558F" w:rsidRDefault="001B5A99" w:rsidP="003D6EAC">
      <w:pPr>
        <w:pStyle w:val="BlockText"/>
      </w:pPr>
      <w:r>
        <w:tab/>
      </w:r>
      <w:r>
        <w:rPr>
          <w:i/>
          <w:u w:val="single"/>
        </w:rPr>
        <w:t xml:space="preserve">Vila &amp; Son Landscaping Corporation v. Posen Construction, Inc., </w:t>
      </w:r>
      <w:r>
        <w:t>37 Fla. L. Weekly D2228c, Case No. 2D10-5582, filed September 19, 2012.</w:t>
      </w:r>
      <w:r w:rsidR="005B558F">
        <w:t xml:space="preserve"> Construction contract was between Posen Construction and Florida Department of Transportation, which approved contractor’s subcontract for landscaping containing a “termination for convenience” provision. Contractor terminated subcontract based on obtaining a lower price, and subcontractor sued for breach based on such basis constituting “bad faith. Jury awarded damages to subcontractor for lost profits, which contractor moved to set aside notwithstanding the verdict as to both liability and damages. The trial court ordered a new trial, which neither party requested and both parties opposed. The trial court’s order for a new trial was reversed</w:t>
      </w:r>
      <w:r w:rsidR="001F01B4">
        <w:t>, and the case remanded for entry of a</w:t>
      </w:r>
      <w:r w:rsidR="005B558F">
        <w:t xml:space="preserve"> judgment in favor of contractor</w:t>
      </w:r>
      <w:r w:rsidR="001F01B4">
        <w:t>,</w:t>
      </w:r>
      <w:r w:rsidR="005B558F">
        <w:t xml:space="preserve"> based on </w:t>
      </w:r>
      <w:r w:rsidR="001F01B4">
        <w:t>a finding that the contract was rightfully terminated since contractor did not act in bad faith by exercising this contract right in order to obtain a lower price for the work.</w:t>
      </w:r>
    </w:p>
    <w:p w:rsidR="00553CBE" w:rsidRPr="00EC539A" w:rsidRDefault="00CF2DBD" w:rsidP="00013164">
      <w:pPr>
        <w:pStyle w:val="BlockText"/>
      </w:pPr>
      <w:r>
        <w:tab/>
      </w:r>
    </w:p>
    <w:p w:rsidR="00620CC5" w:rsidRPr="00620CC5" w:rsidRDefault="00620CC5" w:rsidP="00D15049">
      <w:pPr>
        <w:pStyle w:val="BlockText"/>
      </w:pPr>
    </w:p>
    <w:p w:rsidR="00D9771C" w:rsidRDefault="00EB61E2" w:rsidP="00D9771C">
      <w:pPr>
        <w:pStyle w:val="BlockText"/>
      </w:pPr>
      <w:r>
        <w:rPr>
          <w:b/>
          <w:u w:val="single"/>
        </w:rPr>
        <w:t>DOAH</w:t>
      </w:r>
      <w:r w:rsidR="00D9771C" w:rsidRPr="00D9771C">
        <w:rPr>
          <w:b/>
          <w:u w:val="single"/>
        </w:rPr>
        <w:t>:</w:t>
      </w:r>
      <w:r w:rsidR="0083319A">
        <w:t xml:space="preserve"> </w:t>
      </w:r>
    </w:p>
    <w:p w:rsidR="00940447" w:rsidRDefault="00940447" w:rsidP="00D9771C">
      <w:pPr>
        <w:pStyle w:val="BlockText"/>
      </w:pPr>
    </w:p>
    <w:p w:rsidR="0060730E" w:rsidRPr="00BC5032" w:rsidRDefault="00940447" w:rsidP="00A9360E">
      <w:pPr>
        <w:pStyle w:val="BlockText"/>
        <w:rPr>
          <w:rFonts w:eastAsia="Times New Roman"/>
          <w:noProof/>
          <w:color w:val="000000"/>
        </w:rPr>
      </w:pPr>
      <w:r>
        <w:tab/>
      </w:r>
      <w:r w:rsidR="00E4082C">
        <w:t>(Nothing to report)</w:t>
      </w:r>
    </w:p>
    <w:p w:rsidR="00290B6F" w:rsidRDefault="00290B6F" w:rsidP="00F9535D">
      <w:pPr>
        <w:pStyle w:val="BlockText"/>
        <w:rPr>
          <w:b/>
          <w:u w:val="single"/>
        </w:rPr>
      </w:pPr>
    </w:p>
    <w:p w:rsidR="0098369B" w:rsidRPr="005B2CCD" w:rsidRDefault="00D9771C" w:rsidP="00F9535D">
      <w:pPr>
        <w:pStyle w:val="BlockText"/>
        <w:rPr>
          <w:b/>
        </w:rPr>
      </w:pPr>
      <w:r w:rsidRPr="00D9771C">
        <w:rPr>
          <w:b/>
          <w:u w:val="single"/>
        </w:rPr>
        <w:lastRenderedPageBreak/>
        <w:t>Agency Actions:</w:t>
      </w:r>
      <w:r w:rsidR="00AE4928">
        <w:rPr>
          <w:b/>
        </w:rPr>
        <w:t xml:space="preserve"> </w:t>
      </w:r>
      <w:r w:rsidR="005B2CCD">
        <w:rPr>
          <w:b/>
        </w:rPr>
        <w:t>It is important to note that t</w:t>
      </w:r>
      <w:r w:rsidR="00555FBF" w:rsidRPr="003B5B30">
        <w: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AF4CC5" w:rsidRPr="00AF4CC5"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936542" w:rsidRDefault="00936542" w:rsidP="00A57777">
      <w:pPr>
        <w:pStyle w:val="BlockText"/>
      </w:pPr>
    </w:p>
    <w:p w:rsidR="00E4082C" w:rsidRDefault="008B06DE" w:rsidP="00107362">
      <w:pPr>
        <w:pStyle w:val="BlockText"/>
        <w:numPr>
          <w:ilvl w:val="1"/>
          <w:numId w:val="32"/>
        </w:numPr>
      </w:pPr>
      <w:r>
        <w:t>This board proposed to adopt</w:t>
      </w:r>
      <w:r w:rsidR="00055700">
        <w:t xml:space="preserve"> </w:t>
      </w:r>
      <w:r w:rsidR="004A5613">
        <w:t xml:space="preserve">or amend </w:t>
      </w:r>
      <w:r>
        <w:t>the following rules</w:t>
      </w:r>
      <w:r w:rsidR="00927EF0">
        <w:t xml:space="preserve"> (if any):</w:t>
      </w:r>
      <w:r w:rsidR="001F01B4">
        <w:t xml:space="preserve"> None.</w:t>
      </w:r>
    </w:p>
    <w:p w:rsidR="00A9360E" w:rsidRDefault="00A9360E" w:rsidP="001F01B4">
      <w:pPr>
        <w:pStyle w:val="BlockText"/>
      </w:pPr>
    </w:p>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A3799B" w:rsidRDefault="008B06DE" w:rsidP="00A3799B">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A3799B">
        <w:t>:</w:t>
      </w:r>
    </w:p>
    <w:p w:rsidR="00A3799B" w:rsidRDefault="00A3799B" w:rsidP="00A3799B">
      <w:pPr>
        <w:pStyle w:val="ListParagraph"/>
      </w:pPr>
    </w:p>
    <w:p w:rsidR="00A3799B" w:rsidRDefault="001F01B4" w:rsidP="00A3799B">
      <w:pPr>
        <w:pStyle w:val="BlockText"/>
        <w:numPr>
          <w:ilvl w:val="2"/>
          <w:numId w:val="32"/>
        </w:numPr>
      </w:pPr>
      <w:r>
        <w:t>Robert K. Eddy, Esq., filed on August 24</w:t>
      </w:r>
      <w:r w:rsidR="00A3799B">
        <w:t xml:space="preserve">, 2012, regarding licensure requirements, </w:t>
      </w:r>
      <w:r>
        <w:t>regarding whether section 489.105(3)(n) requires an underground and utility contractor’s license to provide water, server and storm water collection services contained in an attached bid contract.</w:t>
      </w:r>
      <w:r w:rsidR="00A3799B">
        <w:t>uch as Underground Utility Contractor, for bidding on underground water metering utility projects.</w:t>
      </w:r>
    </w:p>
    <w:p w:rsidR="005F770C" w:rsidRDefault="005F770C" w:rsidP="005F770C">
      <w:pPr>
        <w:pStyle w:val="BlockText"/>
        <w:ind w:left="2520"/>
      </w:pPr>
    </w:p>
    <w:p w:rsidR="001F01B4" w:rsidRDefault="001F01B4" w:rsidP="00A3799B">
      <w:pPr>
        <w:pStyle w:val="BlockText"/>
        <w:numPr>
          <w:ilvl w:val="2"/>
          <w:numId w:val="32"/>
        </w:numPr>
      </w:pPr>
      <w:r>
        <w:t>By order entered on September 7, 2012, the board denied the petition filed by National Metering Services on June 22, 2012, regarding licensure requirements to bid on underground water metering utility projects, due to lack of standing.</w:t>
      </w:r>
    </w:p>
    <w:p w:rsidR="005F770C" w:rsidRDefault="005F770C" w:rsidP="005F770C">
      <w:pPr>
        <w:pStyle w:val="BlockText"/>
      </w:pPr>
    </w:p>
    <w:p w:rsidR="005F770C" w:rsidRDefault="005F770C" w:rsidP="00A3799B">
      <w:pPr>
        <w:pStyle w:val="BlockText"/>
        <w:numPr>
          <w:ilvl w:val="2"/>
          <w:numId w:val="32"/>
        </w:numPr>
      </w:pPr>
      <w:r>
        <w:t>Edward Jarriel, Jr., filed on September 10, 2012, regarding the applicability of section 489.105(3)(n) to the installation of a backflow prevention device on the consumer side of a main water distribution system for a single family dwelling and the whether an underground utility contractor’s license was required.</w:t>
      </w:r>
    </w:p>
    <w:p w:rsidR="005F770C" w:rsidRDefault="005F770C" w:rsidP="005F770C">
      <w:pPr>
        <w:pStyle w:val="BlockText"/>
      </w:pPr>
    </w:p>
    <w:p w:rsidR="005F770C" w:rsidRDefault="005F770C" w:rsidP="00A3799B">
      <w:pPr>
        <w:pStyle w:val="BlockText"/>
        <w:numPr>
          <w:ilvl w:val="2"/>
          <w:numId w:val="32"/>
        </w:numPr>
      </w:pPr>
      <w:r>
        <w:t>Artesian Pools, filed on September 19, 2012, regarding section 489.113(9)(b)2., whether a contractor may submit his or her own site specific drawings, specifications and plans for permitting swimming pools, spars or screened enclosures not exceeding 1,200 square feet or one story in height without using a licensed architect or engineer.</w:t>
      </w:r>
    </w:p>
    <w:p w:rsidR="004B196B" w:rsidRDefault="004B196B" w:rsidP="004B196B">
      <w:pPr>
        <w:pStyle w:val="BlockText"/>
      </w:pPr>
    </w:p>
    <w:p w:rsidR="004B196B" w:rsidRDefault="008B06DE" w:rsidP="004B196B">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4B196B" w:rsidRDefault="004B196B" w:rsidP="004B196B">
      <w:pPr>
        <w:pStyle w:val="BlockText"/>
        <w:ind w:left="1800"/>
      </w:pPr>
    </w:p>
    <w:p w:rsidR="005F770C" w:rsidRDefault="005F770C" w:rsidP="0045543B">
      <w:pPr>
        <w:pStyle w:val="BlockText"/>
        <w:numPr>
          <w:ilvl w:val="2"/>
          <w:numId w:val="32"/>
        </w:numPr>
      </w:pPr>
      <w:r>
        <w:t>Masaaki Yamamoto, filed on August 22</w:t>
      </w:r>
      <w:r w:rsidR="004B196B">
        <w:t>, 2012, seeking a permanent waiver or variance from Rule 61G4-16.005, FAC, limiting the period a passing grade is valid for purposes of certification to four (4) years</w:t>
      </w:r>
      <w:r>
        <w:t>.</w:t>
      </w:r>
    </w:p>
    <w:p w:rsidR="005F770C" w:rsidRDefault="005F770C" w:rsidP="005F770C">
      <w:pPr>
        <w:pStyle w:val="BlockText"/>
        <w:numPr>
          <w:ilvl w:val="2"/>
          <w:numId w:val="32"/>
        </w:numPr>
      </w:pPr>
      <w:r>
        <w:lastRenderedPageBreak/>
        <w:t>Manoeil Gerges, filed on August 31, 2012, seeking a permanent waiver or variance from Rule 61G4-16.005, FAC, limiting the period a passing grade is valid for purposes of certification to four (4) years.</w:t>
      </w:r>
    </w:p>
    <w:p w:rsidR="005F770C" w:rsidRDefault="005F770C" w:rsidP="005F770C">
      <w:pPr>
        <w:pStyle w:val="BlockText"/>
      </w:pPr>
    </w:p>
    <w:p w:rsidR="005F770C" w:rsidRDefault="005F770C" w:rsidP="005F770C">
      <w:pPr>
        <w:pStyle w:val="BlockText"/>
        <w:ind w:left="720" w:firstLine="720"/>
      </w:pPr>
      <w:r w:rsidRPr="003F5F1A">
        <w:rPr>
          <w:u w:val="single"/>
        </w:rPr>
        <w:t>Editor’s Note:</w:t>
      </w:r>
      <w:r>
        <w:t xml:space="preserve"> Several similar petitions have been recently denied.</w:t>
      </w: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45543B" w:rsidRDefault="008B06DE" w:rsidP="0045543B">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p>
    <w:p w:rsidR="003F5F1A" w:rsidRDefault="003F5F1A" w:rsidP="003F5F1A">
      <w:pPr>
        <w:pStyle w:val="BlockText"/>
        <w:ind w:left="1800"/>
      </w:pPr>
    </w:p>
    <w:p w:rsidR="0045543B" w:rsidRDefault="0045543B" w:rsidP="0045543B">
      <w:pPr>
        <w:pStyle w:val="BlockText"/>
        <w:numPr>
          <w:ilvl w:val="2"/>
          <w:numId w:val="32"/>
        </w:numPr>
      </w:pPr>
      <w:r>
        <w:t>Rule 61G6-6.005, to update requirements for reexamination.</w:t>
      </w:r>
    </w:p>
    <w:p w:rsidR="0045543B" w:rsidRDefault="0045543B" w:rsidP="0045543B">
      <w:pPr>
        <w:pStyle w:val="BlockText"/>
        <w:ind w:left="2340"/>
      </w:pPr>
    </w:p>
    <w:p w:rsidR="0045543B" w:rsidRDefault="0045543B" w:rsidP="0045543B">
      <w:pPr>
        <w:pStyle w:val="BlockText"/>
        <w:numPr>
          <w:ilvl w:val="2"/>
          <w:numId w:val="32"/>
        </w:numPr>
      </w:pPr>
      <w:r>
        <w:t>Rule 61G6-9.001, to update continuing educational requirements for reactivating an inactive license.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2D1599">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A9360E">
        <w:t xml:space="preserve"> </w:t>
      </w:r>
      <w:r w:rsidR="0045543B">
        <w:t>None.</w:t>
      </w:r>
    </w:p>
    <w:p w:rsidR="00055700" w:rsidRDefault="00055700" w:rsidP="00055700">
      <w:pPr>
        <w:pStyle w:val="ListParagraph"/>
      </w:pPr>
    </w:p>
    <w:p w:rsidR="00555FBF" w:rsidRDefault="008B06DE" w:rsidP="00DF0B84">
      <w:pPr>
        <w:pStyle w:val="BlockText"/>
        <w:numPr>
          <w:ilvl w:val="1"/>
          <w:numId w:val="32"/>
        </w:numPr>
      </w:pPr>
      <w:r>
        <w:t xml:space="preserve">This board has received </w:t>
      </w:r>
      <w:r w:rsidR="00555FBF">
        <w:t xml:space="preserve">or disposed of </w:t>
      </w:r>
      <w:r>
        <w:t>the following P</w:t>
      </w:r>
      <w:r w:rsidR="00927EF0">
        <w:t>etitions for Variance or Waiver (if any):</w:t>
      </w:r>
      <w:r w:rsidR="00DF0B84">
        <w:t xml:space="preserve"> </w:t>
      </w:r>
    </w:p>
    <w:p w:rsidR="0045543B" w:rsidRDefault="0045543B" w:rsidP="0045543B">
      <w:pPr>
        <w:pStyle w:val="ListParagraph"/>
      </w:pPr>
    </w:p>
    <w:p w:rsidR="0045543B" w:rsidRDefault="0045543B" w:rsidP="0045543B">
      <w:pPr>
        <w:pStyle w:val="BlockText"/>
        <w:numPr>
          <w:ilvl w:val="2"/>
          <w:numId w:val="32"/>
        </w:numPr>
      </w:pPr>
      <w:r>
        <w:t>Robert T. Malley filed on September 6, 2012, regarding Rule 61G6-6.017, requiring that for purposes of certification, a passing examination score on any part of the exam shall be valid for a period of two (2) years from the date of examination.</w:t>
      </w:r>
    </w:p>
    <w:p w:rsidR="0045543B" w:rsidRDefault="0045543B" w:rsidP="0045543B">
      <w:pPr>
        <w:pStyle w:val="BlockText"/>
        <w:ind w:left="2520"/>
      </w:pPr>
    </w:p>
    <w:p w:rsidR="0045543B" w:rsidRDefault="0045543B" w:rsidP="003F5F1A">
      <w:pPr>
        <w:pStyle w:val="BlockText"/>
        <w:numPr>
          <w:ilvl w:val="2"/>
          <w:numId w:val="32"/>
        </w:numPr>
      </w:pPr>
      <w:r>
        <w:t>Gary A. Thomas filed on September 7, 2012, regarding Rule 61G6-6.017, requiring that for purposes of certification, a passing examination score on any part of the exam shall be valid for a period of two (2) years from the date of examination.</w:t>
      </w:r>
    </w:p>
    <w:p w:rsidR="008A4467" w:rsidRDefault="008A4467" w:rsidP="008A4467">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A4467" w:rsidRDefault="008B06DE" w:rsidP="00A9360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3F5F1A" w:rsidRDefault="003F5F1A" w:rsidP="003F5F1A">
      <w:pPr>
        <w:pStyle w:val="BlockText"/>
        <w:ind w:left="1800"/>
      </w:pPr>
    </w:p>
    <w:p w:rsidR="00D35E4B" w:rsidRDefault="003F5F1A" w:rsidP="003F5F1A">
      <w:pPr>
        <w:pStyle w:val="BlockText"/>
        <w:numPr>
          <w:ilvl w:val="2"/>
          <w:numId w:val="32"/>
        </w:numPr>
      </w:pPr>
      <w:r>
        <w:t>Rule 61G1-1</w:t>
      </w:r>
      <w:r w:rsidR="00376DA1">
        <w:t>6.001, regarding Architect’s and Interior Designer’s Seal, effective September 24, 2012.</w:t>
      </w:r>
    </w:p>
    <w:p w:rsidR="00376DA1" w:rsidRDefault="00376DA1" w:rsidP="00376DA1">
      <w:pPr>
        <w:pStyle w:val="BlockText"/>
        <w:ind w:left="2520"/>
      </w:pPr>
    </w:p>
    <w:p w:rsidR="00376DA1" w:rsidRDefault="00376DA1" w:rsidP="00376DA1">
      <w:pPr>
        <w:pStyle w:val="BlockText"/>
        <w:numPr>
          <w:ilvl w:val="2"/>
          <w:numId w:val="32"/>
        </w:numPr>
      </w:pPr>
      <w:r>
        <w:t>Rule 61G1-17.001, regarding Professional Fees and Penalties for Architects, effective September 24, 2012.</w:t>
      </w:r>
    </w:p>
    <w:p w:rsidR="00376DA1" w:rsidRDefault="00376DA1" w:rsidP="00376DA1"/>
    <w:p w:rsidR="00376DA1" w:rsidRDefault="00376DA1" w:rsidP="00376DA1">
      <w:pPr>
        <w:pStyle w:val="BlockText"/>
        <w:numPr>
          <w:ilvl w:val="2"/>
          <w:numId w:val="32"/>
        </w:numPr>
      </w:pPr>
      <w:r>
        <w:t>Rule 61G1-21.003, regarding Continuing Education Approval of Subjects and Providers, to incorporate the newest version of the handbook.</w:t>
      </w:r>
    </w:p>
    <w:p w:rsidR="00E8267C" w:rsidRDefault="00E8267C" w:rsidP="00E8267C">
      <w:pPr>
        <w:pStyle w:val="ListParagraph"/>
      </w:pPr>
    </w:p>
    <w:p w:rsidR="00E8267C" w:rsidRDefault="00E8267C" w:rsidP="00E8267C">
      <w:pPr>
        <w:pStyle w:val="BlockText"/>
        <w:numPr>
          <w:ilvl w:val="2"/>
          <w:numId w:val="32"/>
        </w:numPr>
      </w:pPr>
      <w:r>
        <w:t>Rule 61G1-21.006, regarding inactive and delinquent registered interior designers upon reactivation, effective September 24, 2012.</w:t>
      </w:r>
    </w:p>
    <w:p w:rsidR="00376DA1" w:rsidRDefault="00376DA1" w:rsidP="00376DA1">
      <w:pPr>
        <w:pStyle w:val="ListParagraph"/>
      </w:pPr>
    </w:p>
    <w:p w:rsidR="00376DA1" w:rsidRDefault="00376DA1" w:rsidP="00376DA1">
      <w:pPr>
        <w:pStyle w:val="BlockText"/>
        <w:numPr>
          <w:ilvl w:val="2"/>
          <w:numId w:val="32"/>
        </w:numPr>
      </w:pPr>
      <w:r>
        <w:t>Rule 61G1-24.002, regarding Continuing Education Approval of Subjects and Providers, to incorporate the newest version of the handbook.</w:t>
      </w:r>
    </w:p>
    <w:p w:rsidR="00376DA1" w:rsidRDefault="00376DA1" w:rsidP="00376DA1">
      <w:pPr>
        <w:pStyle w:val="BlockText"/>
        <w:ind w:left="2520"/>
      </w:pPr>
    </w:p>
    <w:p w:rsidR="00376DA1" w:rsidRDefault="00E8267C" w:rsidP="00E8267C">
      <w:pPr>
        <w:pStyle w:val="BlockText"/>
        <w:numPr>
          <w:ilvl w:val="2"/>
          <w:numId w:val="32"/>
        </w:numPr>
      </w:pPr>
      <w:r>
        <w:t>Rule 61G1-24.004, regarding inactive and delinquent registered architects upon reactivation, effective September 24, 2012.</w:t>
      </w:r>
    </w:p>
    <w:p w:rsidR="00D35E4B" w:rsidRDefault="00D35E4B" w:rsidP="00D35E4B">
      <w:pPr>
        <w:pStyle w:val="ListParagraph"/>
      </w:pPr>
    </w:p>
    <w:p w:rsidR="00376DA1" w:rsidRDefault="00EA1B72" w:rsidP="0096439D">
      <w:pPr>
        <w:pStyle w:val="BlockText"/>
        <w:numPr>
          <w:ilvl w:val="1"/>
          <w:numId w:val="32"/>
        </w:numPr>
      </w:pPr>
      <w:r>
        <w:t xml:space="preserve">This board proposed the repeal of </w:t>
      </w:r>
      <w:r w:rsidR="00376DA1">
        <w:t>the following rules (if any)</w:t>
      </w:r>
    </w:p>
    <w:p w:rsidR="00EA1B72" w:rsidRDefault="00A9360E" w:rsidP="00376DA1">
      <w:pPr>
        <w:pStyle w:val="BlockText"/>
        <w:ind w:left="1800"/>
      </w:pPr>
      <w:r>
        <w:t xml:space="preserve"> </w:t>
      </w:r>
    </w:p>
    <w:p w:rsidR="00376DA1" w:rsidRDefault="00376DA1" w:rsidP="00376DA1">
      <w:pPr>
        <w:pStyle w:val="BlockText"/>
        <w:numPr>
          <w:ilvl w:val="2"/>
          <w:numId w:val="32"/>
        </w:numPr>
      </w:pPr>
      <w:r>
        <w:t>Rule 61G1-13.002, regarding credit for experience, based on changes to section 481.211, F. S.</w:t>
      </w:r>
    </w:p>
    <w:p w:rsidR="00376DA1" w:rsidRDefault="00376DA1" w:rsidP="00376DA1">
      <w:pPr>
        <w:pStyle w:val="BlockText"/>
        <w:ind w:left="2520"/>
      </w:pPr>
    </w:p>
    <w:p w:rsidR="00376DA1" w:rsidRDefault="00376DA1" w:rsidP="00376DA1">
      <w:pPr>
        <w:pStyle w:val="BlockText"/>
        <w:numPr>
          <w:ilvl w:val="2"/>
          <w:numId w:val="32"/>
        </w:numPr>
      </w:pPr>
      <w:r>
        <w:t>Rule 61G1-13.0021, regarding Intern Development Program, based on changes to section 481.211, F. S.</w:t>
      </w:r>
    </w:p>
    <w:p w:rsidR="00376DA1" w:rsidRDefault="00376DA1" w:rsidP="00376DA1">
      <w:pPr>
        <w:pStyle w:val="ListParagraph"/>
      </w:pPr>
    </w:p>
    <w:p w:rsidR="00376DA1" w:rsidRDefault="00376DA1" w:rsidP="00376DA1">
      <w:pPr>
        <w:pStyle w:val="BlockText"/>
        <w:numPr>
          <w:ilvl w:val="2"/>
          <w:numId w:val="32"/>
        </w:numPr>
      </w:pPr>
      <w:r>
        <w:t>Rule 61G1-13.003, regarding educational requirements, based on changes to section 481.209, F. S.</w:t>
      </w:r>
    </w:p>
    <w:p w:rsidR="00376DA1" w:rsidRDefault="00376DA1" w:rsidP="00376DA1">
      <w:pPr>
        <w:pStyle w:val="ListParagraph"/>
      </w:pPr>
    </w:p>
    <w:p w:rsidR="00376DA1" w:rsidRDefault="00376DA1" w:rsidP="00376DA1">
      <w:pPr>
        <w:pStyle w:val="BlockText"/>
        <w:numPr>
          <w:ilvl w:val="2"/>
          <w:numId w:val="32"/>
        </w:numPr>
      </w:pPr>
      <w:r>
        <w:t xml:space="preserve">Rule 61G1-21.002, regarding Organization and Administration, based on changes to section 455.2179, F. S. </w:t>
      </w:r>
    </w:p>
    <w:p w:rsidR="00E8267C" w:rsidRDefault="00E8267C" w:rsidP="00E8267C">
      <w:pPr>
        <w:pStyle w:val="ListParagraph"/>
      </w:pPr>
    </w:p>
    <w:p w:rsidR="00376DA1" w:rsidRDefault="00E8267C" w:rsidP="00E8267C">
      <w:pPr>
        <w:pStyle w:val="BlockText"/>
        <w:numPr>
          <w:ilvl w:val="2"/>
          <w:numId w:val="32"/>
        </w:numPr>
      </w:pPr>
      <w:r>
        <w:t>Rule 61G1-21.005, regarding reporting of continuing education hours, based on changes to section 455.2179.</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p>
    <w:p w:rsidR="008B06DE" w:rsidRDefault="008B06DE" w:rsidP="008B06DE">
      <w:pPr>
        <w:pStyle w:val="ListParagraph"/>
      </w:pPr>
    </w:p>
    <w:p w:rsidR="006577D7" w:rsidRDefault="008B06DE" w:rsidP="006577D7">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p>
    <w:p w:rsidR="00A9360E" w:rsidRDefault="00A9360E" w:rsidP="00A9360E">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E8267C" w:rsidRDefault="00E8267C" w:rsidP="00E8267C">
      <w:pPr>
        <w:pStyle w:val="BlockText"/>
      </w:pPr>
    </w:p>
    <w:p w:rsidR="00E8267C" w:rsidRDefault="00E8267C" w:rsidP="00E8267C">
      <w:pPr>
        <w:ind w:left="2160"/>
      </w:pPr>
      <w:r>
        <w:t>(Nothing to report)</w:t>
      </w:r>
    </w:p>
    <w:p w:rsidR="000324B5" w:rsidRDefault="000324B5" w:rsidP="000324B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2D1599" w:rsidRDefault="00F60C95" w:rsidP="002D1599">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2D1599">
        <w:t>:</w:t>
      </w:r>
    </w:p>
    <w:p w:rsidR="002D1599" w:rsidRDefault="002D1599" w:rsidP="002D1599">
      <w:pPr>
        <w:pStyle w:val="BlockText"/>
        <w:ind w:left="1800"/>
      </w:pPr>
    </w:p>
    <w:p w:rsidR="002D1599" w:rsidRDefault="00E8267C" w:rsidP="002D1599">
      <w:pPr>
        <w:pStyle w:val="BlockText"/>
        <w:numPr>
          <w:ilvl w:val="2"/>
          <w:numId w:val="32"/>
        </w:numPr>
      </w:pPr>
      <w:r>
        <w:t xml:space="preserve">Rule 61G19-6.012 is </w:t>
      </w:r>
      <w:r w:rsidR="002D1599">
        <w:t>amended to limit the authority of Provisional certificates to the jurisdiction of the government agency with which the applicant was employed at the time of original issuance</w:t>
      </w:r>
      <w:r>
        <w:t>, effective October 7, 2012.</w:t>
      </w:r>
    </w:p>
    <w:p w:rsidR="002D1599" w:rsidRDefault="002D1599" w:rsidP="002D1599">
      <w:pPr>
        <w:pStyle w:val="BlockText"/>
        <w:ind w:left="2520"/>
      </w:pPr>
    </w:p>
    <w:p w:rsidR="002D1599" w:rsidRDefault="00E8267C" w:rsidP="002D1599">
      <w:pPr>
        <w:pStyle w:val="BlockText"/>
        <w:numPr>
          <w:ilvl w:val="2"/>
          <w:numId w:val="32"/>
        </w:numPr>
      </w:pPr>
      <w:r>
        <w:t>Rule 61G19-10.001 is amended to eliminate the differential in</w:t>
      </w:r>
      <w:r w:rsidR="002D1599">
        <w:t xml:space="preserve"> renewal fees for </w:t>
      </w:r>
      <w:r>
        <w:t xml:space="preserve">licensees employed by </w:t>
      </w:r>
      <w:r w:rsidR="002D1599">
        <w:t>b</w:t>
      </w:r>
      <w:r>
        <w:t>oth private and public entities</w:t>
      </w:r>
      <w:r w:rsidR="002D1599">
        <w:t>.</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A9360E">
        <w:t xml:space="preserve"> </w:t>
      </w:r>
      <w:r w:rsidR="002D1599">
        <w:t>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A9360E">
        <w:t xml:space="preserve">): </w:t>
      </w:r>
      <w:r w:rsidR="002D1599">
        <w:t>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2D1599">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0324B5">
        <w:t xml:space="preserve"> and </w:t>
      </w:r>
      <w:r w:rsidR="00922A6D">
        <w:t>Chapter 61G20</w:t>
      </w:r>
      <w:r w:rsidR="000324B5">
        <w:t>, FAC</w:t>
      </w:r>
      <w:r w:rsidR="0038047E">
        <w:rPr>
          <w:rStyle w:val="FootnoteReference"/>
        </w:rPr>
        <w:footnoteReference w:id="2"/>
      </w:r>
      <w:r w:rsidR="00922A6D">
        <w:t>)</w:t>
      </w:r>
      <w:r w:rsidR="002E2A6D">
        <w:t>:</w:t>
      </w:r>
      <w:r w:rsidR="009A1012">
        <w:t xml:space="preserve"> </w:t>
      </w:r>
    </w:p>
    <w:p w:rsidR="000B0E17" w:rsidRDefault="000B0E17" w:rsidP="00E8267C">
      <w:pPr>
        <w:pStyle w:val="BlockText"/>
      </w:pPr>
    </w:p>
    <w:p w:rsidR="0029168D" w:rsidRDefault="0029168D" w:rsidP="0029168D">
      <w:pPr>
        <w:pStyle w:val="BlockText"/>
        <w:numPr>
          <w:ilvl w:val="1"/>
          <w:numId w:val="32"/>
        </w:numPr>
      </w:pPr>
      <w:r>
        <w:t>The Commission has undertaken a statutory “glitch” cycle</w:t>
      </w:r>
      <w:r w:rsidR="000B0E17">
        <w:t>, beginning with staff recommendations for code changes presented during a rules development worksh</w:t>
      </w:r>
      <w:r w:rsidR="00A9360E">
        <w:t xml:space="preserve">op on June 12, 2012, and with the first </w:t>
      </w:r>
      <w:r w:rsidR="000B0E17">
        <w:t xml:space="preserve">public hearing </w:t>
      </w:r>
      <w:r w:rsidR="00A9360E">
        <w:t>held at the August meeting, based on submittal deadline of August 1st. OVER 900 code changes have been filed for consideration</w:t>
      </w:r>
      <w:r w:rsidR="00E8267C">
        <w:t>, many of which will be taken up by the appropriate Technical Advisory Committees on October 7-8, 2012.</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E8267C">
        <w:t xml:space="preserve"> 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A9360E" w:rsidRDefault="0098369B" w:rsidP="00A9360E">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0B0E17">
        <w:rPr>
          <w:b/>
          <w:u w:val="single"/>
        </w:rPr>
        <w:t xml:space="preserve">effective </w:t>
      </w:r>
      <w:r w:rsidR="00B04E9C" w:rsidRPr="000B0E17">
        <w:rPr>
          <w:b/>
          <w:u w:val="single"/>
        </w:rPr>
        <w:t>April 27, 2012</w:t>
      </w:r>
      <w:r w:rsidR="00B04E9C">
        <w:rPr>
          <w:b/>
        </w:rPr>
        <w:t>, mad</w:t>
      </w:r>
      <w:r w:rsidR="006577D7" w:rsidRPr="00922A6D">
        <w:rPr>
          <w:b/>
        </w:rPr>
        <w:t>e</w:t>
      </w:r>
      <w:r w:rsidR="00B04E9C">
        <w:rPr>
          <w:b/>
        </w:rPr>
        <w:t xml:space="preserve"> the following changes</w:t>
      </w:r>
      <w:r w:rsidR="00A9360E">
        <w:rPr>
          <w:b/>
        </w:rPr>
        <w:t xml:space="preserve">: </w:t>
      </w:r>
    </w:p>
    <w:p w:rsidR="00A9360E" w:rsidRDefault="00A9360E" w:rsidP="00A9360E">
      <w:pPr>
        <w:pStyle w:val="ListParagraph"/>
      </w:pPr>
    </w:p>
    <w:p w:rsidR="00A9360E" w:rsidRPr="00A9360E" w:rsidRDefault="00A9360E" w:rsidP="00A9360E">
      <w:pPr>
        <w:pStyle w:val="BlockText"/>
        <w:ind w:left="1080"/>
        <w:rPr>
          <w:b/>
        </w:rPr>
      </w:pPr>
      <w:r>
        <w:t xml:space="preserve">1. </w:t>
      </w:r>
      <w:r w:rsidR="006577D7">
        <w:t xml:space="preserve">The </w:t>
      </w:r>
      <w:r w:rsidR="00CF37B7">
        <w:t>Department</w:t>
      </w:r>
      <w:r w:rsidR="006577D7">
        <w:t xml:space="preserve"> of Health’s authority for plan review and approval of swi</w:t>
      </w:r>
      <w:r w:rsidR="00156092">
        <w:t>mming pools and bathing pools was</w:t>
      </w:r>
      <w:r w:rsidR="006577D7">
        <w:t xml:space="preserve"> repealed and given to local government in accordance with the Florida Building Code.</w:t>
      </w:r>
    </w:p>
    <w:p w:rsidR="006577D7" w:rsidRPr="00A9360E" w:rsidRDefault="006577D7" w:rsidP="00A9360E">
      <w:pPr>
        <w:pStyle w:val="BlockText"/>
        <w:numPr>
          <w:ilvl w:val="0"/>
          <w:numId w:val="47"/>
        </w:numPr>
        <w:rPr>
          <w:b/>
        </w:r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0730E" w:rsidRDefault="0060730E" w:rsidP="0060730E">
      <w:pPr>
        <w:pStyle w:val="ListParagraph"/>
      </w:pPr>
    </w:p>
    <w:p w:rsidR="0029168D" w:rsidRDefault="00251EB1" w:rsidP="00A9360E">
      <w:pPr>
        <w:pStyle w:val="BlockText"/>
        <w:numPr>
          <w:ilvl w:val="0"/>
          <w:numId w:val="30"/>
        </w:numPr>
      </w:pPr>
      <w:r w:rsidRPr="00251EB1">
        <w:rPr>
          <w:b/>
        </w:rPr>
        <w:t>Financial Services</w:t>
      </w:r>
      <w:r w:rsidR="00CA1872">
        <w:t>: Workers’ Compensation Insu</w:t>
      </w:r>
      <w:r w:rsidR="002E2A6D">
        <w:t>rance – Chapter 440 and 69L FAC:</w:t>
      </w:r>
      <w:r w:rsidR="00026C6B">
        <w:t xml:space="preserve"> </w:t>
      </w:r>
    </w:p>
    <w:p w:rsidR="0029168D" w:rsidRDefault="0029168D" w:rsidP="0029168D">
      <w:pPr>
        <w:pStyle w:val="BlockText"/>
        <w:ind w:left="720"/>
      </w:pPr>
      <w:r>
        <w:t>]</w:t>
      </w:r>
    </w:p>
    <w:p w:rsidR="00026C6B" w:rsidRDefault="00EC539A" w:rsidP="0029168D">
      <w:pPr>
        <w:pStyle w:val="BlockText"/>
        <w:ind w:left="360"/>
      </w:pPr>
      <w:r w:rsidRPr="0029168D">
        <w:rPr>
          <w:b/>
          <w:u w:val="single"/>
        </w:rPr>
        <w:t>NEW NOTICE:</w:t>
      </w:r>
      <w:r>
        <w:t xml:space="preserve"> Beginning </w:t>
      </w:r>
      <w:r w:rsidRPr="000B0E17">
        <w:rPr>
          <w:u w:val="single"/>
        </w:rPr>
        <w:t>July 1, 2012</w:t>
      </w:r>
      <w:r>
        <w:t xml:space="preserve">, applications for exemption from workers’ compensation insurance can be made on-line at </w:t>
      </w:r>
      <w:r w:rsidRPr="0029168D">
        <w:rPr>
          <w:u w:val="single"/>
        </w:rPr>
        <w:t>myfloridacfo.com/wc</w:t>
      </w:r>
      <w:r>
        <w:t xml:space="preserve">. </w:t>
      </w:r>
      <w:r w:rsidR="0029168D">
        <w:t>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3C265E" w:rsidRDefault="003C265E" w:rsidP="0029168D">
      <w:pPr>
        <w:pStyle w:val="BlockText"/>
        <w:ind w:left="360"/>
      </w:pPr>
    </w:p>
    <w:p w:rsidR="003C265E" w:rsidRPr="003C265E" w:rsidRDefault="003C265E" w:rsidP="003C265E">
      <w:pPr>
        <w:pStyle w:val="BlockText"/>
        <w:ind w:left="360"/>
        <w:rPr>
          <w:b/>
          <w:i/>
          <w:u w:val="single"/>
        </w:rPr>
      </w:pPr>
      <w:r w:rsidRPr="003C265E">
        <w:rPr>
          <w:b/>
          <w:i/>
          <w:u w:val="single"/>
        </w:rPr>
        <w:t xml:space="preserve">IMPORTANT UNDATE: Out-of-state applicants who do NOT have Florida driver’s license or identification </w:t>
      </w:r>
      <w:r w:rsidR="00EC539A" w:rsidRPr="003C265E">
        <w:rPr>
          <w:b/>
          <w:i/>
          <w:u w:val="single"/>
        </w:rPr>
        <w:t>card</w:t>
      </w:r>
      <w:r w:rsidRPr="003C265E">
        <w:rPr>
          <w:b/>
          <w:i/>
          <w:u w:val="single"/>
        </w:rPr>
        <w:t xml:space="preserve"> should submit their applications in hard copy for processing. This is a “glitch” in the new law, but the department is allowing this “fix” until the legislature has an opportunity to again change the statute.</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60730E" w:rsidRPr="005F17D4" w:rsidRDefault="0060730E" w:rsidP="005F17D4">
      <w:pPr>
        <w:pStyle w:val="BlockText"/>
        <w:ind w:left="360"/>
      </w:pP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sidR="00156092">
        <w:t xml:space="preserve"> Nothing to report</w:t>
      </w:r>
      <w:r w:rsidR="000324B5">
        <w:t xml:space="preserve"> since the new regularly schedule legislative session will not begin until March 2013, and bills are not usually filed</w:t>
      </w:r>
      <w:r w:rsidR="00274276">
        <w:t xml:space="preserve"> and committee meetings are not usually held</w:t>
      </w:r>
      <w:r w:rsidR="000324B5">
        <w:t xml:space="preserve"> prior to the outcome of the general elections in November</w:t>
      </w:r>
      <w:r w:rsidR="00274276">
        <w:t xml:space="preserve"> 2012</w:t>
      </w:r>
      <w:r w:rsidR="0060730E">
        <w:t>.</w:t>
      </w:r>
    </w:p>
    <w:p w:rsidR="00156092" w:rsidRDefault="00156092" w:rsidP="002B78B0">
      <w:pPr>
        <w:pStyle w:val="BlockText"/>
      </w:pPr>
    </w:p>
    <w:p w:rsidR="00156092" w:rsidRDefault="00156092" w:rsidP="002B78B0">
      <w:pPr>
        <w:pStyle w:val="BlockText"/>
      </w:pPr>
      <w:r>
        <w:t>Respectfully submitted,</w:t>
      </w:r>
    </w:p>
    <w:p w:rsidR="00E8267C" w:rsidRDefault="00E8267C" w:rsidP="002B78B0">
      <w:pPr>
        <w:pStyle w:val="BlockText"/>
      </w:pPr>
    </w:p>
    <w:p w:rsidR="00156092" w:rsidRDefault="00E8267C" w:rsidP="002B78B0">
      <w:pPr>
        <w:pStyle w:val="BlockText"/>
      </w:pPr>
      <w:r>
        <w:t>October 7</w:t>
      </w:r>
      <w:r w:rsidR="0029168D">
        <w:t>, 2</w:t>
      </w:r>
      <w:r w:rsidR="00156092">
        <w:t>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2B7" w:rsidRDefault="008932B7" w:rsidP="009A2CBA">
      <w:r>
        <w:separator/>
      </w:r>
    </w:p>
  </w:endnote>
  <w:endnote w:type="continuationSeparator" w:id="0">
    <w:p w:rsidR="008932B7" w:rsidRDefault="008932B7"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FD" w:rsidRDefault="00A43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845FB3">
        <w:rPr>
          <w:noProof/>
        </w:rPr>
        <w:t>2</w:t>
      </w:r>
    </w:fldSimple>
  </w:p>
  <w:p w:rsidR="005A74C3" w:rsidRPr="00911FE4" w:rsidRDefault="00A431FD" w:rsidP="000421B5">
    <w:pPr>
      <w:pStyle w:val="Footer"/>
      <w:rPr>
        <w:rStyle w:val="DocID"/>
      </w:rPr>
    </w:pPr>
    <w:r w:rsidRPr="00A431FD">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4B6AAA"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845FB3">
      <w:rPr>
        <w:noProof/>
        <w:sz w:val="20"/>
      </w:rPr>
      <w:instrText>1</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sidR="00845FB3">
      <w:rPr>
        <w:sz w:val="20"/>
      </w:rPr>
      <w:fldChar w:fldCharType="separate"/>
    </w:r>
    <w:r w:rsidR="00845FB3"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2B7" w:rsidRDefault="008932B7" w:rsidP="009A2CBA">
      <w:r>
        <w:separator/>
      </w:r>
    </w:p>
  </w:footnote>
  <w:footnote w:type="continuationSeparator" w:id="0">
    <w:p w:rsidR="008932B7" w:rsidRDefault="008932B7" w:rsidP="009A2CBA">
      <w:r>
        <w:continuationSeparator/>
      </w:r>
    </w:p>
  </w:footnote>
  <w:footnote w:id="1">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2">
    <w:p w:rsidR="005A74C3" w:rsidRPr="0038047E" w:rsidRDefault="005A74C3" w:rsidP="0038047E">
      <w:pPr>
        <w:pStyle w:val="BlockText"/>
      </w:pPr>
      <w:r>
        <w:rPr>
          <w:rStyle w:val="FootnoteReference"/>
        </w:rPr>
        <w:footnoteRef/>
      </w:r>
      <w:r>
        <w:t xml:space="preserve"> </w:t>
      </w:r>
      <w:r w:rsidRPr="0038047E">
        <w:t xml:space="preserve">As part of the TRANSFER of this commission from the now-defunct Department of Community Affairs to the Department of Business and Professional Regulation, all rules from </w:t>
      </w:r>
      <w:r w:rsidR="000324B5">
        <w:t xml:space="preserve">former </w:t>
      </w:r>
      <w:r w:rsidRPr="0038047E">
        <w:t>Chapter 9N have been TRANSFERRED to Chapter 61G20, FAC.</w:t>
      </w:r>
    </w:p>
    <w:p w:rsidR="005A74C3" w:rsidRDefault="005A74C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FD" w:rsidRDefault="00A43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FD" w:rsidRDefault="00A43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FD" w:rsidRDefault="00A431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3164"/>
    <w:rsid w:val="00016A29"/>
    <w:rsid w:val="00026C6B"/>
    <w:rsid w:val="00027FC3"/>
    <w:rsid w:val="000302BC"/>
    <w:rsid w:val="000324B5"/>
    <w:rsid w:val="000341ED"/>
    <w:rsid w:val="000421B5"/>
    <w:rsid w:val="0005012E"/>
    <w:rsid w:val="000509E7"/>
    <w:rsid w:val="00054D0D"/>
    <w:rsid w:val="0005515D"/>
    <w:rsid w:val="00055700"/>
    <w:rsid w:val="00084298"/>
    <w:rsid w:val="000A3246"/>
    <w:rsid w:val="000A4BA4"/>
    <w:rsid w:val="000B0E17"/>
    <w:rsid w:val="000B1DDB"/>
    <w:rsid w:val="000B76DD"/>
    <w:rsid w:val="000D2555"/>
    <w:rsid w:val="000E17E8"/>
    <w:rsid w:val="000F6911"/>
    <w:rsid w:val="00100E22"/>
    <w:rsid w:val="00103CDF"/>
    <w:rsid w:val="00107362"/>
    <w:rsid w:val="00110D3B"/>
    <w:rsid w:val="001114F7"/>
    <w:rsid w:val="001148B5"/>
    <w:rsid w:val="001156AF"/>
    <w:rsid w:val="00117224"/>
    <w:rsid w:val="00117544"/>
    <w:rsid w:val="00126ABD"/>
    <w:rsid w:val="00146E4E"/>
    <w:rsid w:val="001476D7"/>
    <w:rsid w:val="00151720"/>
    <w:rsid w:val="00151F43"/>
    <w:rsid w:val="00156092"/>
    <w:rsid w:val="001572A8"/>
    <w:rsid w:val="00172C04"/>
    <w:rsid w:val="00175923"/>
    <w:rsid w:val="0019065B"/>
    <w:rsid w:val="001963BC"/>
    <w:rsid w:val="001B11FD"/>
    <w:rsid w:val="001B5A99"/>
    <w:rsid w:val="001B6195"/>
    <w:rsid w:val="001B73F6"/>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4276"/>
    <w:rsid w:val="002857BE"/>
    <w:rsid w:val="00286558"/>
    <w:rsid w:val="00290B6F"/>
    <w:rsid w:val="0029168D"/>
    <w:rsid w:val="00294F80"/>
    <w:rsid w:val="002A4DD8"/>
    <w:rsid w:val="002B0DFC"/>
    <w:rsid w:val="002B3E98"/>
    <w:rsid w:val="002B78B0"/>
    <w:rsid w:val="002C378F"/>
    <w:rsid w:val="002C5E1D"/>
    <w:rsid w:val="002D1599"/>
    <w:rsid w:val="002D4362"/>
    <w:rsid w:val="002E2A6D"/>
    <w:rsid w:val="002F015B"/>
    <w:rsid w:val="00305D83"/>
    <w:rsid w:val="00305FDE"/>
    <w:rsid w:val="00311BC1"/>
    <w:rsid w:val="003134D3"/>
    <w:rsid w:val="0031487D"/>
    <w:rsid w:val="003239B0"/>
    <w:rsid w:val="0032598E"/>
    <w:rsid w:val="003319A7"/>
    <w:rsid w:val="003376F7"/>
    <w:rsid w:val="00340637"/>
    <w:rsid w:val="00340740"/>
    <w:rsid w:val="00345235"/>
    <w:rsid w:val="003473F4"/>
    <w:rsid w:val="003563EF"/>
    <w:rsid w:val="00376DA1"/>
    <w:rsid w:val="0038047E"/>
    <w:rsid w:val="00383EFB"/>
    <w:rsid w:val="00384141"/>
    <w:rsid w:val="00385904"/>
    <w:rsid w:val="003A1E91"/>
    <w:rsid w:val="003A33A5"/>
    <w:rsid w:val="003A4FB0"/>
    <w:rsid w:val="003B5B30"/>
    <w:rsid w:val="003C09F0"/>
    <w:rsid w:val="003C265E"/>
    <w:rsid w:val="003C50CC"/>
    <w:rsid w:val="003D34DF"/>
    <w:rsid w:val="003D6EAC"/>
    <w:rsid w:val="003E13A7"/>
    <w:rsid w:val="003F5F1A"/>
    <w:rsid w:val="00416C25"/>
    <w:rsid w:val="004200FB"/>
    <w:rsid w:val="00425FE8"/>
    <w:rsid w:val="004406AC"/>
    <w:rsid w:val="00454846"/>
    <w:rsid w:val="0045543B"/>
    <w:rsid w:val="004634BE"/>
    <w:rsid w:val="00465432"/>
    <w:rsid w:val="0047003F"/>
    <w:rsid w:val="00474D96"/>
    <w:rsid w:val="00484B9C"/>
    <w:rsid w:val="00492027"/>
    <w:rsid w:val="004A0671"/>
    <w:rsid w:val="004A451E"/>
    <w:rsid w:val="004A5613"/>
    <w:rsid w:val="004A582F"/>
    <w:rsid w:val="004A6E9B"/>
    <w:rsid w:val="004B196B"/>
    <w:rsid w:val="004B6AAA"/>
    <w:rsid w:val="004C458B"/>
    <w:rsid w:val="004C63D8"/>
    <w:rsid w:val="004E35D0"/>
    <w:rsid w:val="004E61C2"/>
    <w:rsid w:val="004F030C"/>
    <w:rsid w:val="004F3D87"/>
    <w:rsid w:val="00500503"/>
    <w:rsid w:val="00504537"/>
    <w:rsid w:val="00512724"/>
    <w:rsid w:val="00520F5E"/>
    <w:rsid w:val="005237C4"/>
    <w:rsid w:val="00535353"/>
    <w:rsid w:val="005463F4"/>
    <w:rsid w:val="00553CBE"/>
    <w:rsid w:val="00555FBF"/>
    <w:rsid w:val="005A61CC"/>
    <w:rsid w:val="005A74C3"/>
    <w:rsid w:val="005B10BD"/>
    <w:rsid w:val="005B212C"/>
    <w:rsid w:val="005B2CCD"/>
    <w:rsid w:val="005B558F"/>
    <w:rsid w:val="005C08FA"/>
    <w:rsid w:val="005C40F9"/>
    <w:rsid w:val="005C5CFC"/>
    <w:rsid w:val="005D217B"/>
    <w:rsid w:val="005F17D4"/>
    <w:rsid w:val="005F1FB3"/>
    <w:rsid w:val="005F4A79"/>
    <w:rsid w:val="005F705E"/>
    <w:rsid w:val="005F770C"/>
    <w:rsid w:val="00600D46"/>
    <w:rsid w:val="0060730E"/>
    <w:rsid w:val="00614279"/>
    <w:rsid w:val="00620CC5"/>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74A2B"/>
    <w:rsid w:val="007755F6"/>
    <w:rsid w:val="00780CCE"/>
    <w:rsid w:val="007862BD"/>
    <w:rsid w:val="00793514"/>
    <w:rsid w:val="007977D0"/>
    <w:rsid w:val="007A040E"/>
    <w:rsid w:val="007A2C34"/>
    <w:rsid w:val="007A7335"/>
    <w:rsid w:val="007B455D"/>
    <w:rsid w:val="007E128E"/>
    <w:rsid w:val="007E4176"/>
    <w:rsid w:val="007F2F12"/>
    <w:rsid w:val="007F4502"/>
    <w:rsid w:val="00801B02"/>
    <w:rsid w:val="00812FF0"/>
    <w:rsid w:val="00820D75"/>
    <w:rsid w:val="00821688"/>
    <w:rsid w:val="008219AB"/>
    <w:rsid w:val="0082467E"/>
    <w:rsid w:val="008271F6"/>
    <w:rsid w:val="00832281"/>
    <w:rsid w:val="00832A42"/>
    <w:rsid w:val="0083319A"/>
    <w:rsid w:val="00833649"/>
    <w:rsid w:val="00845FB3"/>
    <w:rsid w:val="008642DB"/>
    <w:rsid w:val="00864F61"/>
    <w:rsid w:val="008667F9"/>
    <w:rsid w:val="008714D7"/>
    <w:rsid w:val="00875906"/>
    <w:rsid w:val="00883771"/>
    <w:rsid w:val="0089089A"/>
    <w:rsid w:val="008932B7"/>
    <w:rsid w:val="008A4467"/>
    <w:rsid w:val="008A7FFE"/>
    <w:rsid w:val="008B06DE"/>
    <w:rsid w:val="008B10F9"/>
    <w:rsid w:val="008B6B8E"/>
    <w:rsid w:val="008B6F95"/>
    <w:rsid w:val="008C0D2B"/>
    <w:rsid w:val="008C44B6"/>
    <w:rsid w:val="008C4CD7"/>
    <w:rsid w:val="008C57F6"/>
    <w:rsid w:val="008C6567"/>
    <w:rsid w:val="008D5528"/>
    <w:rsid w:val="008D7EAD"/>
    <w:rsid w:val="009008DD"/>
    <w:rsid w:val="0090334E"/>
    <w:rsid w:val="009037AF"/>
    <w:rsid w:val="00912B18"/>
    <w:rsid w:val="00922A6D"/>
    <w:rsid w:val="00927A0D"/>
    <w:rsid w:val="00927EF0"/>
    <w:rsid w:val="00933C83"/>
    <w:rsid w:val="00936542"/>
    <w:rsid w:val="00940447"/>
    <w:rsid w:val="009408A6"/>
    <w:rsid w:val="00944330"/>
    <w:rsid w:val="009459C3"/>
    <w:rsid w:val="0095190E"/>
    <w:rsid w:val="00952ED0"/>
    <w:rsid w:val="009615F7"/>
    <w:rsid w:val="0096439D"/>
    <w:rsid w:val="009679F7"/>
    <w:rsid w:val="00972224"/>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05724"/>
    <w:rsid w:val="00A24F93"/>
    <w:rsid w:val="00A3799B"/>
    <w:rsid w:val="00A413D5"/>
    <w:rsid w:val="00A431FD"/>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40E2"/>
    <w:rsid w:val="00AE4928"/>
    <w:rsid w:val="00AF4CC5"/>
    <w:rsid w:val="00B04E9C"/>
    <w:rsid w:val="00B11BE8"/>
    <w:rsid w:val="00B1354A"/>
    <w:rsid w:val="00B34CB8"/>
    <w:rsid w:val="00B43413"/>
    <w:rsid w:val="00B51F07"/>
    <w:rsid w:val="00B55AA9"/>
    <w:rsid w:val="00B605B3"/>
    <w:rsid w:val="00B6409D"/>
    <w:rsid w:val="00B65A78"/>
    <w:rsid w:val="00B7209C"/>
    <w:rsid w:val="00B75D21"/>
    <w:rsid w:val="00B82AFD"/>
    <w:rsid w:val="00B82F44"/>
    <w:rsid w:val="00B854DA"/>
    <w:rsid w:val="00B94BF6"/>
    <w:rsid w:val="00BA5910"/>
    <w:rsid w:val="00BB3CE8"/>
    <w:rsid w:val="00BB43FD"/>
    <w:rsid w:val="00BC3ED9"/>
    <w:rsid w:val="00BC5032"/>
    <w:rsid w:val="00BD0579"/>
    <w:rsid w:val="00BD1D69"/>
    <w:rsid w:val="00BE7E71"/>
    <w:rsid w:val="00BF06EC"/>
    <w:rsid w:val="00BF5744"/>
    <w:rsid w:val="00BF5A88"/>
    <w:rsid w:val="00C0615F"/>
    <w:rsid w:val="00C10CCD"/>
    <w:rsid w:val="00C10FB4"/>
    <w:rsid w:val="00C15A97"/>
    <w:rsid w:val="00C16757"/>
    <w:rsid w:val="00C17A11"/>
    <w:rsid w:val="00C41104"/>
    <w:rsid w:val="00C42CAD"/>
    <w:rsid w:val="00C46B9E"/>
    <w:rsid w:val="00C527C3"/>
    <w:rsid w:val="00C552DE"/>
    <w:rsid w:val="00C55BAE"/>
    <w:rsid w:val="00C613B0"/>
    <w:rsid w:val="00C666BD"/>
    <w:rsid w:val="00C71560"/>
    <w:rsid w:val="00C80F74"/>
    <w:rsid w:val="00C8621F"/>
    <w:rsid w:val="00CA1872"/>
    <w:rsid w:val="00CA1D5A"/>
    <w:rsid w:val="00CA5910"/>
    <w:rsid w:val="00CA6A88"/>
    <w:rsid w:val="00CB0D76"/>
    <w:rsid w:val="00CB18D5"/>
    <w:rsid w:val="00CB393B"/>
    <w:rsid w:val="00CD02EB"/>
    <w:rsid w:val="00CF2384"/>
    <w:rsid w:val="00CF2DBD"/>
    <w:rsid w:val="00CF37B7"/>
    <w:rsid w:val="00CF7C33"/>
    <w:rsid w:val="00D15049"/>
    <w:rsid w:val="00D17EF8"/>
    <w:rsid w:val="00D31E05"/>
    <w:rsid w:val="00D35E4B"/>
    <w:rsid w:val="00D42313"/>
    <w:rsid w:val="00D45220"/>
    <w:rsid w:val="00D51EF8"/>
    <w:rsid w:val="00D532DF"/>
    <w:rsid w:val="00D5683A"/>
    <w:rsid w:val="00D6075F"/>
    <w:rsid w:val="00D64A8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289D"/>
    <w:rsid w:val="00DE3DD6"/>
    <w:rsid w:val="00DE517B"/>
    <w:rsid w:val="00DE5A5D"/>
    <w:rsid w:val="00DF0B84"/>
    <w:rsid w:val="00DF255F"/>
    <w:rsid w:val="00DF4C21"/>
    <w:rsid w:val="00E07E81"/>
    <w:rsid w:val="00E10E84"/>
    <w:rsid w:val="00E16D83"/>
    <w:rsid w:val="00E30C2C"/>
    <w:rsid w:val="00E311DC"/>
    <w:rsid w:val="00E31752"/>
    <w:rsid w:val="00E3534A"/>
    <w:rsid w:val="00E4082C"/>
    <w:rsid w:val="00E4444A"/>
    <w:rsid w:val="00E66470"/>
    <w:rsid w:val="00E8267C"/>
    <w:rsid w:val="00E95DE1"/>
    <w:rsid w:val="00E97E26"/>
    <w:rsid w:val="00EA1B72"/>
    <w:rsid w:val="00EA3A1A"/>
    <w:rsid w:val="00EA49A8"/>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1963</Words>
  <Characters>10936</Characters>
  <Application>Microsoft Office Word</Application>
  <DocSecurity>0</DocSecurity>
  <Lines>261</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2012-09-08T16:17:00Z</cp:lastPrinted>
  <dcterms:created xsi:type="dcterms:W3CDTF">2012-10-07T15:04:00Z</dcterms:created>
  <dcterms:modified xsi:type="dcterms:W3CDTF">2012-10-07T15:04:00Z</dcterms:modified>
  <cp:category> </cp:category>
  <cp:contentStatus> </cp:contentStatus>
</cp:coreProperties>
</file>