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A9360E">
        <w:t>: July and August</w:t>
      </w:r>
      <w:r w:rsidR="006B60DD">
        <w:t xml:space="preserve"> </w:t>
      </w:r>
      <w:r w:rsidR="00944330">
        <w:t>2012</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CF2DBD" w:rsidRDefault="00CF2DBD" w:rsidP="00D9771C">
      <w:pPr>
        <w:pStyle w:val="BlockText"/>
        <w:rPr>
          <w:b/>
          <w:u w:val="single"/>
        </w:rPr>
      </w:pPr>
    </w:p>
    <w:p w:rsidR="00CF2DBD" w:rsidRPr="00CF2DBD" w:rsidRDefault="00CF2DBD" w:rsidP="00D9771C">
      <w:pPr>
        <w:pStyle w:val="BlockText"/>
        <w:rPr>
          <w:u w:val="single"/>
        </w:rPr>
      </w:pPr>
      <w:r>
        <w:tab/>
      </w:r>
      <w:r w:rsidRPr="00CF2DBD">
        <w:rPr>
          <w:u w:val="single"/>
        </w:rPr>
        <w:t>Federal Case(s):</w:t>
      </w:r>
    </w:p>
    <w:p w:rsidR="00553CBE" w:rsidRDefault="00553CBE" w:rsidP="00D9771C">
      <w:pPr>
        <w:pStyle w:val="BlockText"/>
        <w:rPr>
          <w:b/>
          <w:u w:val="single"/>
        </w:rPr>
      </w:pPr>
    </w:p>
    <w:p w:rsidR="00553CBE" w:rsidRPr="00BF06EC" w:rsidRDefault="00BF06EC" w:rsidP="00D9771C">
      <w:pPr>
        <w:pStyle w:val="BlockText"/>
      </w:pPr>
      <w:r>
        <w:tab/>
      </w:r>
      <w:r w:rsidRPr="00CF2DBD">
        <w:rPr>
          <w:i/>
          <w:u w:val="single"/>
        </w:rPr>
        <w:t>Axis Surplus Insurance Company v. Contravest Construction Company and The Crest At Waterford Lakes Condominium Association, Inc.</w:t>
      </w:r>
      <w:r>
        <w:rPr>
          <w:i/>
        </w:rPr>
        <w:t xml:space="preserve">, </w:t>
      </w:r>
      <w:r>
        <w:t xml:space="preserve">23 Fla. L. Weekly Fed. D279a, </w:t>
      </w:r>
      <w:r w:rsidR="00CF2DBD">
        <w:t xml:space="preserve">Case No. 6:11-cv-320-Orl-28DA,B, </w:t>
      </w:r>
      <w:r>
        <w:t xml:space="preserve">filed on June 5, 2012. In this case decided by the U. S. District Court for the Middle District of Florida, the insurer of a commercial liability insurance policy sought a declaration of its duty to defend a claim for alleged negligent construction of individual condominium units and common areas resulting in severe damage cause by water intrusion. While finding premature the issue of a duty to INDEMINIFY, the court find that the “occurrence” that triggered coverage and gave rise to the insurer’s duty to DEFEND during the term of the policy was the </w:t>
      </w:r>
      <w:r w:rsidR="00CF2DBD">
        <w:t xml:space="preserve">date of </w:t>
      </w:r>
      <w:r>
        <w:t xml:space="preserve">actual manifestation of the property damage or bodily injury, regardless of the </w:t>
      </w:r>
      <w:r w:rsidR="00CF2DBD">
        <w:t>date the property damage COULD have been discovered.</w:t>
      </w:r>
    </w:p>
    <w:p w:rsidR="00553CBE" w:rsidRDefault="00553CBE" w:rsidP="00D9771C">
      <w:pPr>
        <w:pStyle w:val="BlockText"/>
        <w:rPr>
          <w:b/>
          <w:u w:val="single"/>
        </w:rPr>
      </w:pPr>
    </w:p>
    <w:p w:rsidR="00553CBE" w:rsidRPr="00CF2DBD" w:rsidRDefault="00CF2DBD" w:rsidP="00D9771C">
      <w:pPr>
        <w:pStyle w:val="BlockText"/>
        <w:rPr>
          <w:u w:val="single"/>
        </w:rPr>
      </w:pPr>
      <w:r>
        <w:tab/>
      </w:r>
      <w:r w:rsidRPr="00CF2DBD">
        <w:rPr>
          <w:u w:val="single"/>
        </w:rPr>
        <w:t>State Case(s):</w:t>
      </w:r>
    </w:p>
    <w:p w:rsidR="00553CBE" w:rsidRDefault="00553CBE" w:rsidP="00D9771C">
      <w:pPr>
        <w:pStyle w:val="BlockText"/>
        <w:rPr>
          <w:b/>
          <w:u w:val="single"/>
        </w:rPr>
      </w:pPr>
    </w:p>
    <w:p w:rsidR="00553CBE" w:rsidRDefault="00CF2DBD" w:rsidP="00D9771C">
      <w:pPr>
        <w:pStyle w:val="BlockText"/>
      </w:pPr>
      <w:r>
        <w:tab/>
      </w:r>
      <w:r w:rsidRPr="00CF2DBD">
        <w:rPr>
          <w:i/>
          <w:u w:val="single"/>
        </w:rPr>
        <w:t>CFC of Delaware, LLC., v. Santalucia, et. al.,</w:t>
      </w:r>
      <w:r>
        <w:t xml:space="preserve"> 37 Fla. L. Weekly D1590a, Case No. 4D11-3526, filed on July 5, 2012. Court reversed and remanded trial court’s holding denying life insurance company’s Motion to Compel Arbitration based on fraud in the inducement of the insurance contract, since the arbitration provision contained therein was not the subject of the fraud. Accordingly, following the long line of cases since the U. S. Supreme Court’s 2006 decision in </w:t>
      </w:r>
      <w:r w:rsidRPr="00CF2DBD">
        <w:rPr>
          <w:i/>
          <w:u w:val="single"/>
        </w:rPr>
        <w:t>Buckeye Check Cashing v. Cardegna</w:t>
      </w:r>
      <w:r>
        <w:t xml:space="preserve"> (546 U. S. 440)</w:t>
      </w:r>
      <w:r w:rsidR="0031487D">
        <w:t xml:space="preserve"> leaving such determinations up to the arbitrator.</w:t>
      </w:r>
    </w:p>
    <w:p w:rsidR="0031487D" w:rsidRDefault="0031487D" w:rsidP="00D9771C">
      <w:pPr>
        <w:pStyle w:val="BlockText"/>
      </w:pPr>
    </w:p>
    <w:p w:rsidR="0031487D" w:rsidRDefault="0031487D" w:rsidP="00D9771C">
      <w:pPr>
        <w:pStyle w:val="BlockText"/>
      </w:pPr>
      <w:r>
        <w:tab/>
      </w:r>
      <w:r w:rsidRPr="0031487D">
        <w:rPr>
          <w:i/>
          <w:u w:val="single"/>
        </w:rPr>
        <w:t>Kings Ridge Community Association, Inc., v. Sagamore Insurance Company,</w:t>
      </w:r>
      <w:r>
        <w:rPr>
          <w:i/>
        </w:rPr>
        <w:t xml:space="preserve"> </w:t>
      </w:r>
      <w:r>
        <w:t xml:space="preserve">37 Fla. L. Weekly D1604b, Case No. 5D11-1061, filed on July 6, 2012. All-risks business owner’s policy insurer filed an action for declaratory judgment as to the coverage for a building “collapse” and trial court entered judgment denying coverage. Reversed and remanded based on the expert reports that the failure of the building roof trusses due, at least in part, to rainwater collected in the roof and the installation of heavier replacement AC units, and that the building was </w:t>
      </w:r>
      <w:r w:rsidR="008642DB">
        <w:t xml:space="preserve">structurally </w:t>
      </w:r>
      <w:r>
        <w:t>unsafe for occupancy, even though the ceiling was only lowered 12 inches and the building was still standing.</w:t>
      </w:r>
    </w:p>
    <w:p w:rsidR="008642DB" w:rsidRDefault="008642DB" w:rsidP="00D9771C">
      <w:pPr>
        <w:pStyle w:val="BlockText"/>
      </w:pPr>
    </w:p>
    <w:p w:rsidR="0031487D" w:rsidRDefault="008642DB" w:rsidP="00D9771C">
      <w:pPr>
        <w:pStyle w:val="BlockText"/>
      </w:pPr>
      <w:r>
        <w:tab/>
      </w:r>
      <w:r w:rsidRPr="008642DB">
        <w:rPr>
          <w:i/>
          <w:u w:val="single"/>
        </w:rPr>
        <w:t>Robert Petito v. Construction Industry Licensing Board</w:t>
      </w:r>
      <w:r>
        <w:t xml:space="preserve">, 37 Fla. L. Weekly D1980a, Case No. 1D11-5597, filed August 17, 2012. Appeal by contractor was dismissed for lack of standing since the licensee was not subject to any </w:t>
      </w:r>
      <w:r w:rsidR="00474D96">
        <w:t xml:space="preserve">further </w:t>
      </w:r>
      <w:r>
        <w:t xml:space="preserve">discipline </w:t>
      </w:r>
      <w:r w:rsidR="00474D96">
        <w:t xml:space="preserve">by the board </w:t>
      </w:r>
      <w:r>
        <w:t>to date.</w:t>
      </w:r>
    </w:p>
    <w:p w:rsidR="008642DB" w:rsidRDefault="008642DB" w:rsidP="00D9771C">
      <w:pPr>
        <w:pStyle w:val="BlockText"/>
      </w:pPr>
    </w:p>
    <w:p w:rsidR="008642DB" w:rsidRDefault="008642DB" w:rsidP="00D9771C">
      <w:pPr>
        <w:pStyle w:val="BlockText"/>
      </w:pPr>
      <w:r>
        <w:tab/>
      </w:r>
      <w:r w:rsidRPr="008642DB">
        <w:rPr>
          <w:i/>
          <w:u w:val="single"/>
        </w:rPr>
        <w:t>C. C. Borden Construction, Inc. and Fidelity and Deposit Company of Maryland v. Walding Company,</w:t>
      </w:r>
      <w:r>
        <w:t xml:space="preserve"> 37 Fla. L. Weekly D1991a, Case No. 1D12-1744, filed August 21, 2012. </w:t>
      </w:r>
      <w:r w:rsidR="00C55BAE">
        <w:t>Even though contract arbitration provision was ambiguous, trial court’s denial of insurer’s Motion to Compel was reversed in part and remanded for entry of an order granting the motion.</w:t>
      </w:r>
    </w:p>
    <w:p w:rsidR="00C55BAE" w:rsidRPr="008642DB" w:rsidRDefault="00C55BAE" w:rsidP="00D9771C">
      <w:pPr>
        <w:pStyle w:val="BlockText"/>
      </w:pPr>
      <w:r>
        <w:lastRenderedPageBreak/>
        <w:tab/>
      </w:r>
      <w:r w:rsidRPr="00C55BAE">
        <w:rPr>
          <w:i/>
          <w:u w:val="single"/>
        </w:rPr>
        <w:t>Union Carbide Corporation v. William P. Aubin</w:t>
      </w:r>
      <w:r>
        <w:t>, 37 Fla. L. Weekly D2018c, Case No. 3D10-1982, filed August 22, 2012. While declining to certify a direct conflict with the 4</w:t>
      </w:r>
      <w:r w:rsidRPr="00C55BAE">
        <w:rPr>
          <w:vertAlign w:val="superscript"/>
        </w:rPr>
        <w:t>th</w:t>
      </w:r>
      <w:r>
        <w:t xml:space="preserve"> DCA, reversed in part and remanded based on trial court’s error in denying the manufacturer’s Motion for Directed Verdict</w:t>
      </w:r>
      <w:r w:rsidR="001B6195">
        <w:t xml:space="preserve"> with respect to a product design defect by relying on the Second Restatement of Torts, rather than the “component parts” standard in Section 2 of the Third Restatement of Torts, as applied in </w:t>
      </w:r>
      <w:r w:rsidR="001B6195" w:rsidRPr="001B6195">
        <w:rPr>
          <w:i/>
          <w:u w:val="single"/>
        </w:rPr>
        <w:t>Kohler Company v. Marcotte</w:t>
      </w:r>
      <w:r w:rsidR="001B6195">
        <w:t>, 907 So. 2d 596 (Fla. 3d DCA 2005). This later standard of the governing law for products liability claims applies to the manufacturer’s duty to warn end-users of a finished product produced by another company but containing the manufacturer’s product; in this case, Union Carbide produced SG-210 Calidria, a grade of asbestos, for incorporation by others in joint compounds and texture sprays.</w:t>
      </w:r>
    </w:p>
    <w:p w:rsidR="00553CBE" w:rsidRDefault="00553CBE" w:rsidP="00D9771C">
      <w:pPr>
        <w:pStyle w:val="BlockText"/>
        <w:rPr>
          <w:b/>
          <w:u w:val="single"/>
        </w:rPr>
      </w:pPr>
    </w:p>
    <w:p w:rsidR="00AA1C3B" w:rsidRPr="00EC539A" w:rsidRDefault="001B6195" w:rsidP="00DF255F">
      <w:pPr>
        <w:pStyle w:val="BlockText"/>
        <w:rPr>
          <w:b/>
          <w:u w:val="single"/>
        </w:rPr>
      </w:pPr>
      <w:r w:rsidRPr="00EC539A">
        <w:rPr>
          <w:b/>
          <w:u w:val="single"/>
        </w:rPr>
        <w:t>Trial Court Decision(s):</w:t>
      </w:r>
    </w:p>
    <w:p w:rsidR="00553CBE" w:rsidRDefault="00553CBE" w:rsidP="00BA5910">
      <w:pPr>
        <w:pStyle w:val="BlockText"/>
        <w:ind w:firstLine="720"/>
        <w:rPr>
          <w:i/>
          <w:u w:val="single"/>
        </w:rPr>
      </w:pPr>
    </w:p>
    <w:p w:rsidR="00553CBE" w:rsidRPr="00EC539A" w:rsidRDefault="00EC539A" w:rsidP="00BA5910">
      <w:pPr>
        <w:pStyle w:val="BlockText"/>
        <w:ind w:firstLine="720"/>
      </w:pPr>
      <w:r>
        <w:rPr>
          <w:i/>
          <w:u w:val="single"/>
        </w:rPr>
        <w:t>Lennar Homes, LLC, et. al, v. Knauf GIPS KG,</w:t>
      </w:r>
      <w:r>
        <w:t xml:space="preserve"> Case No. 09-07901 CA 42 (Eleventh Judicial Circuit, Miami-Dade County), order filed on August 31, 2012. Circuit Judge Farina entered an Order denying drywall manufacturer’s Motion to Vacate Entry of Default and to Dismiss Complaint based on damages for use of “Chinese drywall,” and found sufficient facts of an agency relationship between manufacturer and distributor to support the application of Florida’s “long-arm” statute, without violating “due process.”</w:t>
      </w:r>
    </w:p>
    <w:p w:rsidR="00620CC5" w:rsidRPr="00620CC5" w:rsidRDefault="00620CC5" w:rsidP="00D15049">
      <w:pPr>
        <w:pStyle w:val="BlockText"/>
      </w:pPr>
    </w:p>
    <w:p w:rsidR="00D9771C" w:rsidRDefault="00EB61E2" w:rsidP="00D9771C">
      <w:pPr>
        <w:pStyle w:val="BlockText"/>
      </w:pPr>
      <w:r>
        <w:rPr>
          <w:b/>
          <w:u w:val="single"/>
        </w:rPr>
        <w:t>DOAH</w:t>
      </w:r>
      <w:r w:rsidR="00D9771C" w:rsidRPr="00D9771C">
        <w:rPr>
          <w:b/>
          <w:u w:val="single"/>
        </w:rPr>
        <w:t>:</w:t>
      </w:r>
      <w:r w:rsidR="0083319A">
        <w:t xml:space="preserve"> </w:t>
      </w:r>
    </w:p>
    <w:p w:rsidR="00940447" w:rsidRDefault="00940447" w:rsidP="00D9771C">
      <w:pPr>
        <w:pStyle w:val="BlockText"/>
      </w:pPr>
    </w:p>
    <w:p w:rsidR="0060730E" w:rsidRPr="00BC5032" w:rsidRDefault="00940447" w:rsidP="00A9360E">
      <w:pPr>
        <w:pStyle w:val="BlockText"/>
        <w:rPr>
          <w:rFonts w:eastAsia="Times New Roman"/>
          <w:noProof/>
          <w:color w:val="000000"/>
        </w:rPr>
      </w:pPr>
      <w:r>
        <w:tab/>
      </w:r>
      <w:r w:rsidR="00E4082C">
        <w:t>(Nothing to report)</w:t>
      </w:r>
    </w:p>
    <w:p w:rsidR="00290B6F" w:rsidRDefault="00290B6F" w:rsidP="00F9535D">
      <w:pPr>
        <w:pStyle w:val="BlockText"/>
        <w:rPr>
          <w:b/>
          <w:u w:val="single"/>
        </w:rPr>
      </w:pPr>
    </w:p>
    <w:p w:rsidR="0098369B" w:rsidRPr="005B2CCD" w:rsidRDefault="00D9771C" w:rsidP="00F9535D">
      <w:pPr>
        <w:pStyle w:val="BlockText"/>
        <w:rPr>
          <w:b/>
        </w:rPr>
      </w:pPr>
      <w:r w:rsidRPr="00D9771C">
        <w:rPr>
          <w:b/>
          <w:u w:val="single"/>
        </w:rPr>
        <w:t>Agency Actions:</w:t>
      </w:r>
      <w:r w:rsidR="00AE4928">
        <w:rPr>
          <w:b/>
        </w:rPr>
        <w:t xml:space="preserve"> </w:t>
      </w:r>
      <w:r w:rsidR="005B2CCD">
        <w:rPr>
          <w:b/>
        </w:rPr>
        <w:t>It is important to note that t</w:t>
      </w:r>
      <w:r w:rsidR="00555FBF" w:rsidRPr="003B5B30">
        <w:t>he legislature passed a new law, e</w:t>
      </w:r>
      <w:r w:rsidR="00D85984" w:rsidRPr="003B5B30">
        <w:t>ffective July 1, 2012, overturning</w:t>
      </w:r>
      <w:r w:rsidR="00262A25" w:rsidRPr="003B5B30">
        <w:t xml:space="preserve"> the Florida Supreme Court decision in</w:t>
      </w:r>
      <w:r w:rsidR="00D85984" w:rsidRPr="003B5B30">
        <w:t xml:space="preserve"> </w:t>
      </w:r>
      <w:r w:rsidR="00722B80" w:rsidRPr="003B5B30">
        <w:rPr>
          <w:i/>
          <w:u w:val="single"/>
        </w:rPr>
        <w:t>Whiley v. Scott</w:t>
      </w:r>
      <w:r w:rsidR="00D85984" w:rsidRPr="003B5B30">
        <w:t xml:space="preserve"> </w:t>
      </w:r>
      <w:r w:rsidR="00D85984">
        <w:t xml:space="preserve">by </w:t>
      </w:r>
      <w:r w:rsidR="00D85984" w:rsidRPr="00D85984">
        <w:t>confirming the Governor’s authority to require</w:t>
      </w:r>
      <w:r w:rsidR="009A1012" w:rsidRPr="00D85984">
        <w:t xml:space="preserve"> agencies and boards </w:t>
      </w:r>
      <w:r w:rsidR="00D85984" w:rsidRPr="00D85984">
        <w:t>to “freeze” rule making</w:t>
      </w:r>
      <w:r w:rsidR="00D85984">
        <w:t xml:space="preserve">, </w:t>
      </w:r>
      <w:r w:rsidR="00D85984" w:rsidRPr="00D85984">
        <w:rPr>
          <w:rFonts w:asciiTheme="majorHAnsi" w:hAnsiTheme="majorHAnsi" w:cstheme="majorHAnsi"/>
        </w:rPr>
        <w:t>a</w:t>
      </w:r>
      <w:r w:rsidR="00D85984">
        <w:rPr>
          <w:rFonts w:asciiTheme="majorHAnsi" w:eastAsia="Times New Roman" w:hAnsiTheme="majorHAnsi" w:cstheme="majorHAnsi"/>
        </w:rPr>
        <w:t>ffirming</w:t>
      </w:r>
      <w:r w:rsidR="00D85984" w:rsidRPr="00D85984">
        <w:rPr>
          <w:rFonts w:asciiTheme="majorHAnsi" w:eastAsia="Times New Roman" w:hAnsiTheme="majorHAnsi" w:cstheme="majorHAnsi"/>
        </w:rPr>
        <w:t xml:space="preserve"> that Executive Orders 11-72 &amp; 11-211 are consistent with law &amp; public policy of this state, and </w:t>
      </w:r>
      <w:r w:rsidR="00D85984">
        <w:rPr>
          <w:rFonts w:asciiTheme="majorHAnsi" w:eastAsia="Times New Roman" w:hAnsiTheme="majorHAnsi" w:cstheme="majorHAnsi"/>
        </w:rPr>
        <w:t>providing</w:t>
      </w:r>
      <w:r w:rsidR="00D85984" w:rsidRPr="00D85984">
        <w:rPr>
          <w:rFonts w:asciiTheme="majorHAnsi" w:eastAsia="Times New Roman" w:hAnsiTheme="majorHAnsi" w:cstheme="majorHAnsi"/>
        </w:rPr>
        <w:t xml:space="preserve"> for removal of duplicative, redundant, or unused rulemaking authority</w:t>
      </w:r>
      <w:r w:rsidR="00D85984">
        <w:rPr>
          <w:rFonts w:asciiTheme="majorHAnsi" w:eastAsia="Times New Roman" w:hAnsiTheme="majorHAnsi" w:cstheme="majorHAnsi"/>
        </w:rPr>
        <w:t>.</w:t>
      </w:r>
    </w:p>
    <w:p w:rsidR="00D85984" w:rsidRDefault="00D85984"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AF4CC5" w:rsidRPr="00AF4CC5" w:rsidRDefault="00F9535D" w:rsidP="00936542">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r w:rsidR="00AF4CC5">
        <w:t xml:space="preserve"> </w:t>
      </w:r>
    </w:p>
    <w:p w:rsidR="00936542" w:rsidRDefault="00936542" w:rsidP="00A57777">
      <w:pPr>
        <w:pStyle w:val="BlockText"/>
      </w:pPr>
    </w:p>
    <w:p w:rsidR="00E4082C" w:rsidRDefault="008B06DE" w:rsidP="00107362">
      <w:pPr>
        <w:pStyle w:val="BlockText"/>
        <w:numPr>
          <w:ilvl w:val="1"/>
          <w:numId w:val="32"/>
        </w:numPr>
      </w:pPr>
      <w:r>
        <w:t>This board proposed to adopt</w:t>
      </w:r>
      <w:r w:rsidR="00055700">
        <w:t xml:space="preserve"> </w:t>
      </w:r>
      <w:r w:rsidR="004A5613">
        <w:t xml:space="preserve">or amend </w:t>
      </w:r>
      <w:r>
        <w:t>the following rules</w:t>
      </w:r>
      <w:r w:rsidR="00927EF0">
        <w:t xml:space="preserve"> (if any):</w:t>
      </w:r>
    </w:p>
    <w:p w:rsidR="008C4CD7" w:rsidRDefault="008C4CD7" w:rsidP="008C4CD7">
      <w:pPr>
        <w:pStyle w:val="BlockText"/>
        <w:ind w:left="1800"/>
      </w:pPr>
    </w:p>
    <w:p w:rsidR="008C4CD7" w:rsidRDefault="00E4082C" w:rsidP="00E4082C">
      <w:pPr>
        <w:pStyle w:val="BlockText"/>
        <w:numPr>
          <w:ilvl w:val="2"/>
          <w:numId w:val="32"/>
        </w:numPr>
      </w:pPr>
      <w:r>
        <w:t>Rule 61G4-18.001, to amend</w:t>
      </w:r>
      <w:r w:rsidR="008C4CD7">
        <w:t xml:space="preserve"> by modifying and clarifying the CE required courses to include Chapter 682 (Arbitration Code) and Chapter 553 (Building Construction Standards), and to comport CE </w:t>
      </w:r>
      <w:r w:rsidR="00454846">
        <w:t>requirements</w:t>
      </w:r>
      <w:r w:rsidR="008C4CD7">
        <w:t xml:space="preserve"> with recent statutory changes regarding previous active renewals.</w:t>
      </w:r>
    </w:p>
    <w:p w:rsidR="008C4CD7" w:rsidRDefault="008C4CD7" w:rsidP="008C4CD7">
      <w:pPr>
        <w:pStyle w:val="BlockText"/>
        <w:ind w:left="2520"/>
      </w:pPr>
    </w:p>
    <w:p w:rsidR="008C4CD7" w:rsidRDefault="000A3246" w:rsidP="008C4CD7">
      <w:pPr>
        <w:pStyle w:val="BlockText"/>
        <w:numPr>
          <w:ilvl w:val="2"/>
          <w:numId w:val="32"/>
        </w:numPr>
      </w:pPr>
      <w:r>
        <w:t xml:space="preserve"> </w:t>
      </w:r>
      <w:r w:rsidR="008C4CD7">
        <w:t xml:space="preserve">Rule 61G4-15.018, effective August 30, 2012, to create a “Glass and Glazing Specialty Contractor,” in light of the recent statutory change that deletes this license category from the Division II status in had for one (1) year. A Notice of Change in this proposed rule was published on July 13, 2012, </w:t>
      </w:r>
      <w:r w:rsidR="00A3799B">
        <w:t>to add scope for “installation of structurally-anchored impact-resistant opening protection attached to existing buildings….”, etc.</w:t>
      </w:r>
    </w:p>
    <w:p w:rsidR="008C4CD7" w:rsidRDefault="008C4CD7" w:rsidP="008C4CD7">
      <w:pPr>
        <w:pStyle w:val="ListParagraph"/>
      </w:pPr>
    </w:p>
    <w:p w:rsidR="008C4CD7" w:rsidRDefault="008C4CD7" w:rsidP="00A3799B">
      <w:pPr>
        <w:pStyle w:val="BlockText"/>
        <w:numPr>
          <w:ilvl w:val="2"/>
          <w:numId w:val="32"/>
        </w:numPr>
      </w:pPr>
      <w:r>
        <w:t>Rule 61G4-18.001, to modify language regarding CE requirements.</w:t>
      </w:r>
    </w:p>
    <w:p w:rsidR="00A9360E" w:rsidRDefault="00A9360E" w:rsidP="00A9360E">
      <w:pPr>
        <w:pStyle w:val="BlockText"/>
        <w:ind w:left="1800"/>
      </w:pPr>
    </w:p>
    <w:p w:rsidR="00520F5E" w:rsidRDefault="008714D7" w:rsidP="00107362">
      <w:pPr>
        <w:pStyle w:val="BlockText"/>
        <w:numPr>
          <w:ilvl w:val="1"/>
          <w:numId w:val="32"/>
        </w:numPr>
      </w:pPr>
      <w:r>
        <w:t>This Board proposes to r</w:t>
      </w:r>
      <w:r w:rsidR="00425FE8">
        <w:t xml:space="preserve">epeal </w:t>
      </w:r>
      <w:r>
        <w:t>the following rules (if any):</w:t>
      </w:r>
      <w:r w:rsidR="00103CDF">
        <w:t xml:space="preserve"> None.</w:t>
      </w:r>
    </w:p>
    <w:p w:rsidR="00520F5E" w:rsidRDefault="00520F5E" w:rsidP="00BD1D69">
      <w:pPr>
        <w:pStyle w:val="BlockText"/>
      </w:pPr>
    </w:p>
    <w:p w:rsidR="00A3799B" w:rsidRDefault="008B06DE" w:rsidP="00A3799B">
      <w:pPr>
        <w:pStyle w:val="BlockText"/>
        <w:numPr>
          <w:ilvl w:val="1"/>
          <w:numId w:val="32"/>
        </w:numPr>
      </w:pPr>
      <w:r>
        <w:t>This</w:t>
      </w:r>
      <w:r w:rsidR="00722B80">
        <w:t xml:space="preserve"> board </w:t>
      </w:r>
      <w:r>
        <w:t>has received</w:t>
      </w:r>
      <w:r w:rsidR="002F015B">
        <w:t xml:space="preserve"> </w:t>
      </w:r>
      <w:r w:rsidR="00555FBF">
        <w:t xml:space="preserve">or disposed of </w:t>
      </w:r>
      <w:r>
        <w:t>the following Petitions for Declaratory Statement</w:t>
      </w:r>
      <w:r w:rsidR="00927EF0">
        <w:t xml:space="preserve"> (if any)</w:t>
      </w:r>
      <w:r w:rsidR="00A3799B">
        <w:t>:</w:t>
      </w:r>
    </w:p>
    <w:p w:rsidR="00A3799B" w:rsidRDefault="00A3799B" w:rsidP="00A3799B">
      <w:pPr>
        <w:pStyle w:val="ListParagraph"/>
      </w:pPr>
    </w:p>
    <w:p w:rsidR="00A3799B" w:rsidRDefault="00A3799B" w:rsidP="00A3799B">
      <w:pPr>
        <w:pStyle w:val="BlockText"/>
        <w:numPr>
          <w:ilvl w:val="2"/>
          <w:numId w:val="32"/>
        </w:numPr>
      </w:pPr>
      <w:r>
        <w:t>Vincent S. Verdiarmo for National Metering Services, Inc., filed on June 22, 2012, regarding licensure requirements, such as Underground Utility Contractor, for bidding on underground water metering utility projects.</w:t>
      </w:r>
    </w:p>
    <w:p w:rsidR="00A3799B" w:rsidRDefault="00A3799B" w:rsidP="00A3799B">
      <w:pPr>
        <w:pStyle w:val="BlockText"/>
        <w:ind w:left="2520"/>
      </w:pPr>
    </w:p>
    <w:p w:rsidR="00A3799B" w:rsidRDefault="00A3799B" w:rsidP="00A3799B">
      <w:pPr>
        <w:pStyle w:val="BlockText"/>
        <w:numPr>
          <w:ilvl w:val="2"/>
          <w:numId w:val="32"/>
        </w:numPr>
      </w:pPr>
      <w:r>
        <w:t>Bruce Lebedun (DS 2012-028), filed on June 15, 2012, regarding licensure requirement, such as for Plumbing Contractor, to change and replace plumbing fixtures (toilets),where there is no advertising as a contractor and total cost of fee does not exceed $1,000. The board’s final order, entered on August 14, 2012, denied the petition for prior disciplinary actions by local government.</w:t>
      </w:r>
    </w:p>
    <w:p w:rsidR="00117224" w:rsidRDefault="00117224" w:rsidP="00117224">
      <w:pPr>
        <w:pStyle w:val="ListParagraph"/>
      </w:pPr>
    </w:p>
    <w:p w:rsidR="00117224" w:rsidRPr="00117224" w:rsidRDefault="00117224" w:rsidP="00117224">
      <w:pPr>
        <w:pStyle w:val="BlockText"/>
        <w:ind w:left="2520"/>
        <w:rPr>
          <w:rFonts w:eastAsiaTheme="minorHAnsi"/>
          <w:iCs w:val="0"/>
        </w:rPr>
      </w:pPr>
      <w:r w:rsidRPr="00117224">
        <w:rPr>
          <w:rFonts w:eastAsiaTheme="minorHAnsi"/>
          <w:iCs w:val="0"/>
          <w:u w:val="single"/>
        </w:rPr>
        <w:t>Editor’s Note:</w:t>
      </w:r>
      <w:r>
        <w:rPr>
          <w:rFonts w:eastAsiaTheme="minorHAnsi"/>
          <w:iCs w:val="0"/>
        </w:rPr>
        <w:t xml:space="preserve"> This question was addressed in DS 2007-021 by Final Order entered on September 12, 2007, with the response that changing out of plumbing fixtures, such as faucets and toilets and cleaning of clogged drains, requires a Plumbing Contractor’s license, subject to the “handyman” exemption set forth in Section 489.103(9), F. S., where the work costs less than $1,000 and there is no advertising.</w:t>
      </w:r>
    </w:p>
    <w:p w:rsidR="00117224" w:rsidRDefault="00117224" w:rsidP="00117224">
      <w:pPr>
        <w:pStyle w:val="ListParagraph"/>
      </w:pPr>
    </w:p>
    <w:p w:rsidR="00117224" w:rsidRDefault="00117224" w:rsidP="00A3799B">
      <w:pPr>
        <w:pStyle w:val="BlockText"/>
        <w:numPr>
          <w:ilvl w:val="2"/>
          <w:numId w:val="32"/>
        </w:numPr>
      </w:pPr>
      <w:r>
        <w:t xml:space="preserve">Homesure of America, Inc., d/b/a/ Cross County Home Services, filed on October 24, 2011, was reconsidered on July 13, 2012, regarding whether a licensed home warranty association and service warranty association must obtain an air conditioning or mechanical contractors license to market and sell a program to provide minor routine air conditioning preventive maintenance services utilizing a network of licensed contractors to provide the service, where the aggregate contract price is less than $1,000. By order filed on July 27, 2012, the board granted the petition and held that no such license was required, as long as Petitioner did not </w:t>
      </w:r>
      <w:r w:rsidR="004B196B">
        <w:t xml:space="preserve">contract for or attempt to </w:t>
      </w:r>
      <w:r>
        <w:t>control the “means and methods”</w:t>
      </w:r>
      <w:r w:rsidR="004B196B">
        <w:t xml:space="preserve"> of any construction beyond the terms of the warranty, and the homeowner was free to hire and compensate the contractor performing the licensed work.</w:t>
      </w:r>
    </w:p>
    <w:p w:rsidR="004B196B" w:rsidRDefault="004B196B" w:rsidP="004B196B">
      <w:pPr>
        <w:pStyle w:val="BlockText"/>
        <w:ind w:left="2520"/>
      </w:pPr>
    </w:p>
    <w:p w:rsidR="004B196B" w:rsidRDefault="004B196B" w:rsidP="00A3799B">
      <w:pPr>
        <w:pStyle w:val="BlockText"/>
        <w:numPr>
          <w:ilvl w:val="2"/>
          <w:numId w:val="32"/>
        </w:numPr>
      </w:pPr>
      <w:r>
        <w:t>J. Ronald Blount/JRB Associates, Inc., filed on May 24, 2012, regarding whether licensure is required for “Program Management” in advising owners how to secure, and to assist in monitoring, the actual design or construction of their facilities, was considered on July 13, 2012, and the board’s order, entered on August 14, 2012, denied the petition for insufficient information to establish that petitioner has standing.</w:t>
      </w:r>
    </w:p>
    <w:p w:rsidR="004B196B" w:rsidRDefault="004B196B" w:rsidP="004B196B">
      <w:pPr>
        <w:pStyle w:val="ListParagraph"/>
      </w:pPr>
    </w:p>
    <w:p w:rsidR="000A3246" w:rsidRDefault="004B196B" w:rsidP="004B196B">
      <w:pPr>
        <w:pStyle w:val="BlockText"/>
        <w:numPr>
          <w:ilvl w:val="2"/>
          <w:numId w:val="32"/>
        </w:numPr>
      </w:pPr>
      <w:r>
        <w:t>BK Seal Coating and Striping, filed on April 23, 2012, regarding whether license is required for sealcoating or striping asphalt parking lots, was withdrawn on July 13, 2012.</w:t>
      </w:r>
    </w:p>
    <w:p w:rsidR="004B196B" w:rsidRDefault="004B196B" w:rsidP="004B196B">
      <w:pPr>
        <w:pStyle w:val="BlockText"/>
      </w:pPr>
    </w:p>
    <w:p w:rsidR="004B196B" w:rsidRDefault="008B06DE" w:rsidP="004B196B">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FA5090">
        <w:t xml:space="preserve"> </w:t>
      </w:r>
    </w:p>
    <w:p w:rsidR="004B196B" w:rsidRDefault="004B196B" w:rsidP="004B196B">
      <w:pPr>
        <w:pStyle w:val="BlockText"/>
        <w:ind w:left="1800"/>
      </w:pPr>
    </w:p>
    <w:p w:rsidR="004B196B" w:rsidRDefault="004B196B" w:rsidP="004B196B">
      <w:pPr>
        <w:pStyle w:val="BlockText"/>
        <w:numPr>
          <w:ilvl w:val="2"/>
          <w:numId w:val="32"/>
        </w:numPr>
      </w:pPr>
      <w:r>
        <w:t>Jeremy Hauff, filed on June 1, 2012, seeking a permanent waiver or variance from Rule 61G4-16.005, FAC, limiting the period a passing grade is valid for purposes of certification to four (4) years, was denied by order entered on August 14, 2012</w:t>
      </w:r>
      <w:r w:rsidR="002D1599">
        <w:t>, due to failure to show substantial hardship or that application of the rule would violate principals of fairness</w:t>
      </w:r>
      <w:r>
        <w:t>.</w:t>
      </w:r>
    </w:p>
    <w:p w:rsidR="004B196B" w:rsidRDefault="004B196B" w:rsidP="004B196B">
      <w:pPr>
        <w:pStyle w:val="BlockText"/>
        <w:ind w:left="2340"/>
      </w:pPr>
    </w:p>
    <w:p w:rsidR="004B196B" w:rsidRDefault="002D1599" w:rsidP="004B196B">
      <w:pPr>
        <w:pStyle w:val="BlockText"/>
        <w:numPr>
          <w:ilvl w:val="2"/>
          <w:numId w:val="32"/>
        </w:numPr>
      </w:pPr>
      <w:r>
        <w:t>Richard J. Porcelli, Thunderbolt Construction Services, filed on April 23, 2012, seeking a variance or waiver from Rule 61G4-15.006, FAC, was withdrawn.</w:t>
      </w:r>
    </w:p>
    <w:p w:rsidR="00555FBF" w:rsidRDefault="00555FBF" w:rsidP="00DF0B84">
      <w:pPr>
        <w:jc w:val="both"/>
      </w:pPr>
    </w:p>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8714D7" w:rsidRDefault="008B06DE" w:rsidP="00425FE8">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r w:rsidR="002D1599">
        <w:t xml:space="preserve"> None.</w:t>
      </w:r>
    </w:p>
    <w:p w:rsidR="00520F5E" w:rsidRDefault="00520F5E" w:rsidP="004A0671">
      <w:pPr>
        <w:pStyle w:val="BlockText"/>
      </w:pPr>
    </w:p>
    <w:p w:rsidR="008714D7" w:rsidRDefault="008714D7" w:rsidP="008714D7">
      <w:pPr>
        <w:pStyle w:val="BlockText"/>
        <w:numPr>
          <w:ilvl w:val="1"/>
          <w:numId w:val="32"/>
        </w:numPr>
      </w:pPr>
      <w:r>
        <w:t>This Board proposes to repeal the following rules (if any):</w:t>
      </w:r>
      <w:r w:rsidR="002D1599">
        <w:t xml:space="preserve"> None.</w:t>
      </w:r>
    </w:p>
    <w:p w:rsidR="008714D7" w:rsidRDefault="008714D7" w:rsidP="008714D7">
      <w:pPr>
        <w:pStyle w:val="ListParagraph"/>
      </w:pPr>
    </w:p>
    <w:p w:rsidR="00555FBF" w:rsidRDefault="008B06DE" w:rsidP="004A0671">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t>:</w:t>
      </w:r>
      <w:r w:rsidR="00A9360E">
        <w:t xml:space="preserve"> </w:t>
      </w:r>
      <w:r w:rsidR="002D1599">
        <w:t>Avila Property Owners Association, filed on July 24, 2012, regarding whether a license is required for monitoring equipment as a compliment to alarm monitoring services to its residents.</w:t>
      </w:r>
    </w:p>
    <w:p w:rsidR="00055700" w:rsidRDefault="00055700" w:rsidP="00055700">
      <w:pPr>
        <w:pStyle w:val="ListParagraph"/>
      </w:pPr>
    </w:p>
    <w:p w:rsidR="00555FBF" w:rsidRDefault="008B06DE" w:rsidP="00DF0B84">
      <w:pPr>
        <w:pStyle w:val="BlockText"/>
        <w:numPr>
          <w:ilvl w:val="1"/>
          <w:numId w:val="32"/>
        </w:numPr>
      </w:pPr>
      <w:r>
        <w:t xml:space="preserve">This board has received </w:t>
      </w:r>
      <w:r w:rsidR="00555FBF">
        <w:t xml:space="preserve">or disposed of </w:t>
      </w:r>
      <w:r>
        <w:t>the following P</w:t>
      </w:r>
      <w:r w:rsidR="00927EF0">
        <w:t>etitions for Variance or Waiver (if any):</w:t>
      </w:r>
      <w:r w:rsidR="00DF0B84">
        <w:t xml:space="preserve"> </w:t>
      </w:r>
      <w:r w:rsidR="002D1599">
        <w:t>None.</w:t>
      </w:r>
    </w:p>
    <w:p w:rsidR="008A4467" w:rsidRDefault="008A4467" w:rsidP="008A4467">
      <w:pPr>
        <w:pStyle w:val="BlockText"/>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8A4467" w:rsidRDefault="008B06DE" w:rsidP="00A9360E">
      <w:pPr>
        <w:pStyle w:val="BlockText"/>
        <w:numPr>
          <w:ilvl w:val="1"/>
          <w:numId w:val="32"/>
        </w:numPr>
      </w:pPr>
      <w:r>
        <w:t xml:space="preserve">This board proposed to adopt </w:t>
      </w:r>
      <w:r w:rsidR="00927EF0">
        <w:t xml:space="preserve">or amend </w:t>
      </w:r>
      <w:r>
        <w:t>the following rules</w:t>
      </w:r>
      <w:r w:rsidR="00927EF0">
        <w:t xml:space="preserve"> (if any)</w:t>
      </w:r>
      <w:r w:rsidR="00103CDF">
        <w:t xml:space="preserve">: </w:t>
      </w:r>
    </w:p>
    <w:p w:rsidR="00D35E4B" w:rsidRDefault="00D35E4B" w:rsidP="00D35E4B">
      <w:pPr>
        <w:pStyle w:val="BlockText"/>
        <w:numPr>
          <w:ilvl w:val="2"/>
          <w:numId w:val="32"/>
        </w:numPr>
      </w:pPr>
      <w:r>
        <w:t>Rule 61G1-12.004, to be amended</w:t>
      </w:r>
      <w:r w:rsidRPr="00D35E4B">
        <w:t xml:space="preserve"> </w:t>
      </w:r>
      <w:r>
        <w:t>subject to rule development workshop,  regarding disciplinary guidelines.</w:t>
      </w:r>
    </w:p>
    <w:p w:rsidR="00D35E4B" w:rsidRDefault="00D35E4B" w:rsidP="00D35E4B">
      <w:pPr>
        <w:pStyle w:val="BlockText"/>
        <w:ind w:left="2520"/>
      </w:pPr>
    </w:p>
    <w:p w:rsidR="00D35E4B" w:rsidRDefault="00D35E4B" w:rsidP="00D35E4B">
      <w:pPr>
        <w:pStyle w:val="BlockText"/>
        <w:numPr>
          <w:ilvl w:val="2"/>
          <w:numId w:val="32"/>
        </w:numPr>
      </w:pPr>
      <w:r>
        <w:t>Rule 61G1-13.001, to be amended subject to rule development workshop, regarding experience requirements for architects to include completion of NCARB intern programs.</w:t>
      </w:r>
    </w:p>
    <w:p w:rsidR="00D35E4B" w:rsidRDefault="00D35E4B" w:rsidP="00D35E4B">
      <w:pPr>
        <w:pStyle w:val="BlockText"/>
      </w:pPr>
    </w:p>
    <w:p w:rsidR="00D35E4B" w:rsidRDefault="00D35E4B" w:rsidP="00D35E4B">
      <w:pPr>
        <w:pStyle w:val="BlockText"/>
        <w:numPr>
          <w:ilvl w:val="2"/>
          <w:numId w:val="32"/>
        </w:numPr>
      </w:pPr>
      <w:r>
        <w:t>Rule 61G1-16.001, to be amended subject to rule development workshop, regarding sealing of electronic files in accordance with Rule 61G1-16.005, FAC.</w:t>
      </w:r>
    </w:p>
    <w:p w:rsidR="00D35E4B" w:rsidRDefault="00D35E4B" w:rsidP="00D35E4B">
      <w:pPr>
        <w:pStyle w:val="ListParagraph"/>
      </w:pPr>
    </w:p>
    <w:p w:rsidR="00D35E4B" w:rsidRDefault="00D35E4B" w:rsidP="00D35E4B">
      <w:pPr>
        <w:pStyle w:val="BlockText"/>
        <w:numPr>
          <w:ilvl w:val="2"/>
          <w:numId w:val="32"/>
        </w:numPr>
      </w:pPr>
      <w:r>
        <w:t>Rule 61G1-17.001, to be amended subject to rule development workshop, regarding professional fees and penalties for architects.</w:t>
      </w:r>
    </w:p>
    <w:p w:rsidR="00D35E4B" w:rsidRDefault="00D35E4B" w:rsidP="00D35E4B">
      <w:pPr>
        <w:pStyle w:val="ListParagraph"/>
      </w:pPr>
    </w:p>
    <w:p w:rsidR="00D35E4B" w:rsidRDefault="00D35E4B" w:rsidP="00BF5A88">
      <w:pPr>
        <w:pStyle w:val="BlockText"/>
        <w:numPr>
          <w:ilvl w:val="2"/>
          <w:numId w:val="32"/>
        </w:numPr>
      </w:pPr>
      <w:r>
        <w:t xml:space="preserve">Rule 61G1-17.002, to be amended </w:t>
      </w:r>
      <w:r w:rsidR="00BF5A88">
        <w:t>effective August 26, 2012</w:t>
      </w:r>
      <w:r>
        <w:t>, regarding professional fees and penalties</w:t>
      </w:r>
      <w:r w:rsidR="00BF5A88">
        <w:t xml:space="preserve"> for interior designers</w:t>
      </w:r>
      <w:r>
        <w:t>.</w:t>
      </w:r>
    </w:p>
    <w:p w:rsidR="00BF5A88" w:rsidRDefault="00BF5A88" w:rsidP="00BF5A88">
      <w:pPr>
        <w:pStyle w:val="ListParagraph"/>
      </w:pPr>
    </w:p>
    <w:p w:rsidR="00BF5A88" w:rsidRDefault="00BF5A88" w:rsidP="00BF5A88">
      <w:pPr>
        <w:pStyle w:val="BlockText"/>
        <w:numPr>
          <w:ilvl w:val="2"/>
          <w:numId w:val="32"/>
        </w:numPr>
      </w:pPr>
      <w:r>
        <w:t>Rule 61G1-21.006, to be amended subject to rule development workshop, regarding inactive and delinquent interior designers, to comport to recent statutory changes regarding same.</w:t>
      </w:r>
    </w:p>
    <w:p w:rsidR="00D35E4B" w:rsidRDefault="00D35E4B" w:rsidP="00D35E4B">
      <w:pPr>
        <w:pStyle w:val="ListParagraph"/>
      </w:pPr>
    </w:p>
    <w:p w:rsidR="00D35E4B" w:rsidRDefault="00D35E4B" w:rsidP="00D35E4B">
      <w:pPr>
        <w:pStyle w:val="BlockText"/>
        <w:numPr>
          <w:ilvl w:val="2"/>
          <w:numId w:val="32"/>
        </w:numPr>
      </w:pPr>
      <w:r>
        <w:t>Rule 61G1-24.004, to be amended subject to rule development workshop, regarding inactive and delinquent architects, to comport to recent statutory changes regarding same.</w:t>
      </w:r>
    </w:p>
    <w:p w:rsidR="00DF0B84" w:rsidRDefault="00DF0B84" w:rsidP="00BF5A88">
      <w:pPr>
        <w:pStyle w:val="BlockText"/>
      </w:pPr>
    </w:p>
    <w:p w:rsidR="00EA1B72" w:rsidRDefault="00EA1B72" w:rsidP="0096439D">
      <w:pPr>
        <w:pStyle w:val="BlockText"/>
        <w:numPr>
          <w:ilvl w:val="1"/>
          <w:numId w:val="32"/>
        </w:numPr>
      </w:pPr>
      <w:r>
        <w:t>This board proposed the repeal of the following rules (if any):</w:t>
      </w:r>
      <w:r w:rsidR="00A9360E">
        <w:t xml:space="preserve"> </w:t>
      </w:r>
    </w:p>
    <w:p w:rsidR="00EA1B72" w:rsidRDefault="00EA1B72" w:rsidP="00EA1B72">
      <w:pPr>
        <w:pStyle w:val="BlockText"/>
        <w:ind w:left="2520"/>
      </w:pPr>
    </w:p>
    <w:p w:rsidR="008B06DE" w:rsidRDefault="008B06DE" w:rsidP="00EA1B72">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6577D7">
        <w:t xml:space="preserve"> </w:t>
      </w:r>
    </w:p>
    <w:p w:rsidR="008B06DE" w:rsidRDefault="008B06DE" w:rsidP="008B06DE">
      <w:pPr>
        <w:pStyle w:val="ListParagraph"/>
      </w:pPr>
    </w:p>
    <w:p w:rsidR="006577D7" w:rsidRDefault="008B06DE" w:rsidP="006577D7">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EA1B72">
        <w:t xml:space="preserve"> </w:t>
      </w:r>
    </w:p>
    <w:p w:rsidR="00A9360E" w:rsidRDefault="00A9360E" w:rsidP="00A9360E">
      <w:pPr>
        <w:pStyle w:val="BlockText"/>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2363CA" w:rsidRDefault="002363CA" w:rsidP="002363CA">
      <w:pPr>
        <w:pStyle w:val="BlockText"/>
        <w:ind w:left="1080"/>
      </w:pPr>
    </w:p>
    <w:p w:rsidR="00DF0B84" w:rsidRDefault="008B06DE" w:rsidP="00697F28">
      <w:pPr>
        <w:pStyle w:val="BlockText"/>
        <w:numPr>
          <w:ilvl w:val="1"/>
          <w:numId w:val="32"/>
        </w:numPr>
      </w:pPr>
      <w:r>
        <w:t>This board proposed to adopt</w:t>
      </w:r>
      <w:r w:rsidR="00927EF0">
        <w:t xml:space="preserve"> or amend</w:t>
      </w:r>
      <w:r>
        <w:t xml:space="preserve"> the following rules</w:t>
      </w:r>
      <w:r w:rsidR="00927EF0">
        <w:t xml:space="preserve"> (</w:t>
      </w:r>
      <w:r w:rsidR="005F17D4">
        <w:t>i</w:t>
      </w:r>
      <w:r w:rsidR="00927EF0">
        <w:t>f any)</w:t>
      </w:r>
      <w:r>
        <w:t>:</w:t>
      </w:r>
      <w:r w:rsidR="00697F28">
        <w:t xml:space="preserve"> </w:t>
      </w:r>
      <w:r w:rsidR="009008DD">
        <w:t xml:space="preserve"> </w:t>
      </w:r>
    </w:p>
    <w:p w:rsidR="009008DD" w:rsidRDefault="009008DD" w:rsidP="009008DD">
      <w:pPr>
        <w:pStyle w:val="BlockText"/>
        <w:ind w:left="1800"/>
      </w:pPr>
    </w:p>
    <w:p w:rsidR="009008DD" w:rsidRDefault="009008DD" w:rsidP="009008DD">
      <w:pPr>
        <w:pStyle w:val="BlockText"/>
        <w:numPr>
          <w:ilvl w:val="2"/>
          <w:numId w:val="32"/>
        </w:numPr>
      </w:pPr>
      <w:r>
        <w:t>Rule 61G15-15.005, to be amended effective July 29, 2012, regarding procedures for signing and sealing electronically transmitted plans, specifications, reports or other documents.</w:t>
      </w:r>
    </w:p>
    <w:p w:rsidR="009008DD" w:rsidRDefault="009008DD" w:rsidP="009008DD">
      <w:pPr>
        <w:pStyle w:val="BlockText"/>
        <w:ind w:left="1800"/>
      </w:pPr>
    </w:p>
    <w:p w:rsidR="009008DD" w:rsidRDefault="009008DD" w:rsidP="009008DD">
      <w:pPr>
        <w:pStyle w:val="BlockText"/>
        <w:numPr>
          <w:ilvl w:val="2"/>
          <w:numId w:val="32"/>
        </w:numPr>
      </w:pPr>
      <w:r>
        <w:t>Rule 61G15-23.003, to be amended effective August 20, 2012, regarding the engineering work that is required to be sealed under s. 471.025, F. S.</w:t>
      </w:r>
    </w:p>
    <w:p w:rsidR="009008DD" w:rsidRDefault="009008DD" w:rsidP="009008DD">
      <w:pPr>
        <w:pStyle w:val="BlockText"/>
        <w:ind w:left="2520"/>
      </w:pPr>
    </w:p>
    <w:p w:rsidR="009008DD" w:rsidRDefault="009008DD" w:rsidP="009008DD">
      <w:pPr>
        <w:pStyle w:val="BlockText"/>
        <w:numPr>
          <w:ilvl w:val="2"/>
          <w:numId w:val="32"/>
        </w:numPr>
      </w:pPr>
      <w:r>
        <w:t>Rule 61G15-29.001, to be amended effective August 20, 2012, regarding the definition of “Certification” as used in Rule 61G15-18.011(4), FAC.</w:t>
      </w:r>
    </w:p>
    <w:p w:rsidR="00DF0B84" w:rsidRDefault="00DF0B84" w:rsidP="00A9360E">
      <w:pPr>
        <w:pStyle w:val="BlockText"/>
      </w:pPr>
    </w:p>
    <w:p w:rsidR="00200951" w:rsidRDefault="00200951" w:rsidP="00156092">
      <w:pPr>
        <w:pStyle w:val="BlockText"/>
        <w:numPr>
          <w:ilvl w:val="1"/>
          <w:numId w:val="32"/>
        </w:numPr>
      </w:pPr>
      <w:r>
        <w:t>This board proposed</w:t>
      </w:r>
      <w:r w:rsidR="00156092">
        <w:t xml:space="preserve"> to repeal the </w:t>
      </w:r>
      <w:r w:rsidR="00A9360E">
        <w:t xml:space="preserve">following rules (if any): </w:t>
      </w:r>
      <w:r w:rsidR="009008DD">
        <w:t>None.</w:t>
      </w:r>
    </w:p>
    <w:p w:rsidR="00156092" w:rsidRDefault="00156092" w:rsidP="00156092">
      <w:pPr>
        <w:pStyle w:val="BlockText"/>
        <w:ind w:left="1800"/>
      </w:pPr>
    </w:p>
    <w:p w:rsidR="008B06DE" w:rsidRDefault="008B06DE" w:rsidP="00E16D83">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9008DD">
        <w:t xml:space="preserve"> None.</w:t>
      </w:r>
    </w:p>
    <w:p w:rsidR="00555FBF" w:rsidRDefault="00555FBF" w:rsidP="00555FBF">
      <w:pPr>
        <w:pStyle w:val="BlockText"/>
      </w:pPr>
    </w:p>
    <w:p w:rsidR="00D532DF" w:rsidRDefault="008B06DE" w:rsidP="000324B5">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697F28">
        <w:t xml:space="preserve"> </w:t>
      </w:r>
    </w:p>
    <w:p w:rsidR="00BF5A88" w:rsidRDefault="00BF5A88" w:rsidP="00BF5A88">
      <w:pPr>
        <w:pStyle w:val="ListParagraph"/>
      </w:pPr>
    </w:p>
    <w:p w:rsidR="00BF5A88" w:rsidRDefault="00BF5A88" w:rsidP="00BF5A88">
      <w:pPr>
        <w:pStyle w:val="BlockText"/>
        <w:numPr>
          <w:ilvl w:val="2"/>
          <w:numId w:val="32"/>
        </w:numPr>
      </w:pPr>
      <w:r>
        <w:t>Alan Pang, filed on October 21, 2011, seeking permanent waiver or variance from Rule 61G15-20,007(1)(b), regarding completion of a substantial equivalency for general education course requirements, was denied by order entered on December 27, 2011, for failure to demonstrate substantial hardship.</w:t>
      </w:r>
    </w:p>
    <w:p w:rsidR="00BF5A88" w:rsidRDefault="00BF5A88" w:rsidP="00BF5A88">
      <w:pPr>
        <w:pStyle w:val="BlockText"/>
        <w:ind w:left="2520"/>
      </w:pPr>
    </w:p>
    <w:p w:rsidR="00BF5A88" w:rsidRDefault="00BF5A88" w:rsidP="00BF5A88">
      <w:pPr>
        <w:pStyle w:val="BlockText"/>
        <w:numPr>
          <w:ilvl w:val="2"/>
          <w:numId w:val="32"/>
        </w:numPr>
      </w:pPr>
      <w:r>
        <w:t>Mukesh Joshi, filed on December 21, 2011, seeking permanent waiver or variance from Rule 61G15-20,007(1)(b), regarding completion of a substantial equivalency for general education course requirements, was denied by order entered on April 25, 2012, for failure to demonstrate substantial hardship.</w:t>
      </w:r>
    </w:p>
    <w:p w:rsidR="00BF5A88" w:rsidRDefault="00BF5A88" w:rsidP="00BF5A88">
      <w:pPr>
        <w:pStyle w:val="BlockText"/>
        <w:ind w:left="2520"/>
      </w:pPr>
    </w:p>
    <w:p w:rsidR="00BF5A88" w:rsidRDefault="00BF5A88" w:rsidP="00BF5A88">
      <w:pPr>
        <w:pStyle w:val="BlockText"/>
        <w:numPr>
          <w:ilvl w:val="2"/>
          <w:numId w:val="32"/>
        </w:numPr>
      </w:pPr>
      <w:r>
        <w:t>John  D. Rice, filed on July 16, 2012, seeking a permanent waiver or variance from Rule 61G15-21.004, FAC, regarding the required passing grade on the Principles and Practice Examination.</w:t>
      </w:r>
    </w:p>
    <w:p w:rsidR="000324B5" w:rsidRDefault="000324B5" w:rsidP="000324B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2D1599" w:rsidRDefault="00F60C95" w:rsidP="002D1599">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2D1599">
        <w:t>:</w:t>
      </w:r>
    </w:p>
    <w:p w:rsidR="002D1599" w:rsidRDefault="002D1599" w:rsidP="002D1599">
      <w:pPr>
        <w:pStyle w:val="BlockText"/>
        <w:ind w:left="1800"/>
      </w:pPr>
    </w:p>
    <w:p w:rsidR="002D1599" w:rsidRDefault="002D1599" w:rsidP="002D1599">
      <w:pPr>
        <w:pStyle w:val="BlockText"/>
        <w:numPr>
          <w:ilvl w:val="2"/>
          <w:numId w:val="32"/>
        </w:numPr>
      </w:pPr>
      <w:r>
        <w:t>Rule 61G19-6.012 to be amended to limit the authority of Provisional certificates to the jurisdiction of the government agency with which the applicant was employed at the time of original issuance.</w:t>
      </w:r>
    </w:p>
    <w:p w:rsidR="002D1599" w:rsidRDefault="002D1599" w:rsidP="002D1599">
      <w:pPr>
        <w:pStyle w:val="BlockText"/>
        <w:ind w:left="2520"/>
      </w:pPr>
    </w:p>
    <w:p w:rsidR="002D1599" w:rsidRDefault="002D1599" w:rsidP="002D1599">
      <w:pPr>
        <w:pStyle w:val="BlockText"/>
        <w:numPr>
          <w:ilvl w:val="2"/>
          <w:numId w:val="32"/>
        </w:numPr>
      </w:pPr>
      <w:r>
        <w:t>Rule 61G19-10.001 to be amended regarding renewal fees for both private and public licensees.</w:t>
      </w:r>
    </w:p>
    <w:p w:rsidR="00F60C95" w:rsidRDefault="00F60C95" w:rsidP="00F60C95">
      <w:pPr>
        <w:pStyle w:val="BlockText"/>
        <w:ind w:left="1800"/>
      </w:pPr>
    </w:p>
    <w:p w:rsidR="00F56C3E" w:rsidRDefault="00F60C95" w:rsidP="005F17D4">
      <w:pPr>
        <w:pStyle w:val="BlockText"/>
        <w:numPr>
          <w:ilvl w:val="1"/>
          <w:numId w:val="32"/>
        </w:numPr>
      </w:pPr>
      <w:r>
        <w:t>This board proposed to repeal the following rules (if any):</w:t>
      </w:r>
      <w:r w:rsidR="00A9360E">
        <w:t xml:space="preserve"> </w:t>
      </w:r>
      <w:r w:rsidR="002D1599">
        <w:t>None.</w:t>
      </w:r>
    </w:p>
    <w:p w:rsidR="008B06DE" w:rsidRDefault="008B06DE" w:rsidP="00055700">
      <w:pPr>
        <w:pStyle w:val="BlockText"/>
      </w:pPr>
    </w:p>
    <w:p w:rsidR="008B06DE" w:rsidRDefault="008B06DE" w:rsidP="00156092">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rsidR="00A9360E">
        <w:t xml:space="preserve">): </w:t>
      </w:r>
      <w:r w:rsidR="002D1599">
        <w:t>None.</w:t>
      </w:r>
    </w:p>
    <w:p w:rsidR="00156092" w:rsidRDefault="00156092" w:rsidP="00156092">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D83830">
        <w:t xml:space="preserve"> </w:t>
      </w:r>
      <w:r w:rsidR="002D1599">
        <w:t>None.</w:t>
      </w: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1"/>
      </w:r>
      <w:r w:rsidR="00CA1872">
        <w:t xml:space="preserve"> – C</w:t>
      </w:r>
      <w:r w:rsidR="00383EFB">
        <w:t>hapter 553, Part IV</w:t>
      </w:r>
      <w:r w:rsidR="000324B5">
        <w:t xml:space="preserve"> and </w:t>
      </w:r>
      <w:r w:rsidR="00922A6D">
        <w:t>Chapter 61G20</w:t>
      </w:r>
      <w:r w:rsidR="000324B5">
        <w:t>, FAC</w:t>
      </w:r>
      <w:r w:rsidR="0038047E">
        <w:rPr>
          <w:rStyle w:val="FootnoteReference"/>
        </w:rPr>
        <w:footnoteReference w:id="2"/>
      </w:r>
      <w:r w:rsidR="00922A6D">
        <w:t>)</w:t>
      </w:r>
      <w:r w:rsidR="002E2A6D">
        <w:t>:</w:t>
      </w:r>
      <w:r w:rsidR="009A1012">
        <w:t xml:space="preserve"> </w:t>
      </w:r>
    </w:p>
    <w:p w:rsidR="0096439D" w:rsidRDefault="0096439D" w:rsidP="005F17D4">
      <w:pPr>
        <w:pStyle w:val="BlockText"/>
      </w:pPr>
    </w:p>
    <w:p w:rsidR="0029168D" w:rsidRDefault="0029168D" w:rsidP="000B0E17">
      <w:pPr>
        <w:pStyle w:val="BlockText"/>
        <w:numPr>
          <w:ilvl w:val="1"/>
          <w:numId w:val="32"/>
        </w:numPr>
      </w:pPr>
      <w:r w:rsidRPr="000324B5">
        <w:rPr>
          <w:u w:val="single"/>
        </w:rPr>
        <w:t>UPDATE:</w:t>
      </w:r>
      <w:r>
        <w:t xml:space="preserve"> We had previously report</w:t>
      </w:r>
      <w:r w:rsidR="000324B5">
        <w:t>ed</w:t>
      </w:r>
      <w:r>
        <w:t xml:space="preserve"> that t</w:t>
      </w:r>
      <w:r w:rsidR="00922A6D">
        <w:t>he commission</w:t>
      </w:r>
      <w:r w:rsidR="000324B5">
        <w:t xml:space="preserve"> </w:t>
      </w:r>
      <w:r w:rsidR="008B06DE">
        <w:t xml:space="preserve">received </w:t>
      </w:r>
      <w:r w:rsidR="000324B5">
        <w:t xml:space="preserve">a Petition </w:t>
      </w:r>
      <w:r w:rsidR="008B06DE">
        <w:t>for Declaratory Statement</w:t>
      </w:r>
      <w:r>
        <w:t xml:space="preserve"> from </w:t>
      </w:r>
      <w:r w:rsidR="005F17D4">
        <w:t>Joe Belcher, AWP Windows and Doors, and Aluminum Association of Florida, regarding replacement fenestration units for renovated buildings, and requesting a code interpretation that if the costs for replacement are less than 30% of the assessed value of the building that window replacements would not have to comply with the new Building Code, Energy Code requirements (which became effective with the 2010 edition of the Building Code on March 15, 0212</w:t>
      </w:r>
      <w:r w:rsidR="000324B5">
        <w:t>)</w:t>
      </w:r>
      <w:r w:rsidR="005F17D4">
        <w:t xml:space="preserve">. </w:t>
      </w:r>
      <w:r w:rsidR="00A9360E">
        <w:t xml:space="preserve">Intervenor status was </w:t>
      </w:r>
      <w:r w:rsidR="000324B5">
        <w:t>grant</w:t>
      </w:r>
      <w:r w:rsidR="00A9360E">
        <w:t xml:space="preserve">ed to </w:t>
      </w:r>
      <w:r>
        <w:t xml:space="preserve">Custom Windows Systems of Gainesville, Florida, </w:t>
      </w:r>
      <w:r w:rsidR="00A9360E">
        <w:t xml:space="preserve">and the Intervenor’s </w:t>
      </w:r>
      <w:r>
        <w:t>Motion to Dismiss this Petition on several legal grounds</w:t>
      </w:r>
      <w:r w:rsidR="00A9360E">
        <w:t xml:space="preserve"> was granted at the August meeting</w:t>
      </w:r>
      <w:r>
        <w:t>.</w:t>
      </w:r>
    </w:p>
    <w:p w:rsidR="000B0E17" w:rsidRDefault="000B0E17" w:rsidP="000B0E17">
      <w:pPr>
        <w:pStyle w:val="BlockText"/>
        <w:ind w:left="1800"/>
      </w:pPr>
    </w:p>
    <w:p w:rsidR="0029168D" w:rsidRDefault="0029168D" w:rsidP="0029168D">
      <w:pPr>
        <w:pStyle w:val="BlockText"/>
        <w:numPr>
          <w:ilvl w:val="1"/>
          <w:numId w:val="32"/>
        </w:numPr>
      </w:pPr>
      <w:r>
        <w:t xml:space="preserve">The Commission has </w:t>
      </w:r>
      <w:r w:rsidR="000B0E17">
        <w:t xml:space="preserve">also </w:t>
      </w:r>
      <w:r>
        <w:t>undertaken a statutory “glitch” cycle</w:t>
      </w:r>
      <w:r w:rsidR="000B0E17">
        <w:t>, beginning with staff recommendations for code changes presented during a rules development worksh</w:t>
      </w:r>
      <w:r w:rsidR="00A9360E">
        <w:t xml:space="preserve">op on June 12, 2012, and with the first </w:t>
      </w:r>
      <w:r w:rsidR="000B0E17">
        <w:t xml:space="preserve">public hearing </w:t>
      </w:r>
      <w:r w:rsidR="00A9360E">
        <w:t>held at the August meeting, based on submittal deadline of August 1st. OVER 900 code changes have been filed for consideration</w:t>
      </w:r>
      <w:r w:rsidR="000B0E17">
        <w:t>.</w:t>
      </w:r>
    </w:p>
    <w:p w:rsidR="008B06DE" w:rsidRDefault="008B06DE" w:rsidP="006B60DD"/>
    <w:p w:rsidR="008B06DE" w:rsidRDefault="00922A6D" w:rsidP="008B06DE">
      <w:pPr>
        <w:pStyle w:val="BlockText"/>
        <w:numPr>
          <w:ilvl w:val="1"/>
          <w:numId w:val="32"/>
        </w:numPr>
      </w:pPr>
      <w:r>
        <w:t>The commission</w:t>
      </w:r>
      <w:r w:rsidR="008B06DE">
        <w:t xml:space="preserve"> has received the following Petitions for Variance or Waiver</w:t>
      </w:r>
      <w:r w:rsidR="00927EF0">
        <w:t xml:space="preserve"> (if any)</w:t>
      </w:r>
      <w:r w:rsidR="008B06DE">
        <w:t>:</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A9360E" w:rsidRDefault="0098369B" w:rsidP="00A9360E">
      <w:pPr>
        <w:pStyle w:val="BlockText"/>
        <w:numPr>
          <w:ilvl w:val="0"/>
          <w:numId w:val="30"/>
        </w:numPr>
        <w:rPr>
          <w:b/>
        </w:rPr>
      </w:pPr>
      <w:r w:rsidRPr="006577D7">
        <w:rPr>
          <w:b/>
        </w:rPr>
        <w:t>Health</w:t>
      </w:r>
      <w:r w:rsidR="00CA1872">
        <w:t xml:space="preserve">: </w:t>
      </w:r>
      <w:r w:rsidR="00CA1872" w:rsidRPr="00922A6D">
        <w:rPr>
          <w:b/>
        </w:rPr>
        <w:t>Water Qualit</w:t>
      </w:r>
      <w:r w:rsidR="00383EFB" w:rsidRPr="00922A6D">
        <w:rPr>
          <w:b/>
        </w:rPr>
        <w:t>y/Septic Tanks</w:t>
      </w:r>
      <w:r w:rsidR="00D9771C" w:rsidRPr="00922A6D">
        <w:rPr>
          <w:b/>
        </w:rPr>
        <w:t xml:space="preserve"> – Chapter 381</w:t>
      </w:r>
      <w:r w:rsidR="00383EFB" w:rsidRPr="00922A6D">
        <w:rPr>
          <w:b/>
        </w:rPr>
        <w:t xml:space="preserve"> and 64E</w:t>
      </w:r>
      <w:r w:rsidR="002E2A6D" w:rsidRPr="00922A6D">
        <w:rPr>
          <w:b/>
        </w:rPr>
        <w:t xml:space="preserve"> FAC:</w:t>
      </w:r>
      <w:r w:rsidR="00221AAE" w:rsidRPr="00922A6D">
        <w:rPr>
          <w:b/>
        </w:rPr>
        <w:t xml:space="preserve"> </w:t>
      </w:r>
      <w:r w:rsidR="00B04E9C">
        <w:rPr>
          <w:b/>
        </w:rPr>
        <w:t xml:space="preserve">Chapter 2012-184, Laws of Florida, </w:t>
      </w:r>
      <w:r w:rsidR="006577D7" w:rsidRPr="000B0E17">
        <w:rPr>
          <w:b/>
          <w:u w:val="single"/>
        </w:rPr>
        <w:t xml:space="preserve">effective </w:t>
      </w:r>
      <w:r w:rsidR="00B04E9C" w:rsidRPr="000B0E17">
        <w:rPr>
          <w:b/>
          <w:u w:val="single"/>
        </w:rPr>
        <w:t>April 27, 2012</w:t>
      </w:r>
      <w:r w:rsidR="00B04E9C">
        <w:rPr>
          <w:b/>
        </w:rPr>
        <w:t>, mad</w:t>
      </w:r>
      <w:r w:rsidR="006577D7" w:rsidRPr="00922A6D">
        <w:rPr>
          <w:b/>
        </w:rPr>
        <w:t>e</w:t>
      </w:r>
      <w:r w:rsidR="00B04E9C">
        <w:rPr>
          <w:b/>
        </w:rPr>
        <w:t xml:space="preserve"> the following changes</w:t>
      </w:r>
      <w:r w:rsidR="00A9360E">
        <w:rPr>
          <w:b/>
        </w:rPr>
        <w:t xml:space="preserve">: </w:t>
      </w:r>
    </w:p>
    <w:p w:rsidR="00A9360E" w:rsidRDefault="00A9360E" w:rsidP="00A9360E">
      <w:pPr>
        <w:pStyle w:val="ListParagraph"/>
      </w:pPr>
    </w:p>
    <w:p w:rsidR="00A9360E" w:rsidRPr="00A9360E" w:rsidRDefault="00A9360E" w:rsidP="00A9360E">
      <w:pPr>
        <w:pStyle w:val="BlockText"/>
        <w:ind w:left="1080"/>
        <w:rPr>
          <w:b/>
        </w:rPr>
      </w:pPr>
      <w:r>
        <w:t xml:space="preserve">1. </w:t>
      </w:r>
      <w:r w:rsidR="006577D7">
        <w:t xml:space="preserve">The </w:t>
      </w:r>
      <w:r w:rsidR="00CF37B7">
        <w:t>Department</w:t>
      </w:r>
      <w:r w:rsidR="006577D7">
        <w:t xml:space="preserve"> of Health’s authority for plan review and approval of swi</w:t>
      </w:r>
      <w:r w:rsidR="00156092">
        <w:t>mming pools and bathing pools was</w:t>
      </w:r>
      <w:r w:rsidR="006577D7">
        <w:t xml:space="preserve"> repealed and given to local government in accordance with the Florida Building Code.</w:t>
      </w:r>
    </w:p>
    <w:p w:rsidR="006577D7" w:rsidRPr="00A9360E" w:rsidRDefault="006577D7" w:rsidP="00A9360E">
      <w:pPr>
        <w:pStyle w:val="BlockText"/>
        <w:numPr>
          <w:ilvl w:val="0"/>
          <w:numId w:val="47"/>
        </w:numPr>
        <w:rPr>
          <w:b/>
        </w:rPr>
      </w:pPr>
      <w:r>
        <w:t xml:space="preserve">The 2011 enactment of section 381.0065(5), </w:t>
      </w:r>
      <w:r w:rsidR="00CF37B7">
        <w:t>requiring</w:t>
      </w:r>
      <w:r>
        <w:t xml:space="preserve"> periodic inspections of on-site sewerage disposal systems (“septic tanks”) is repealed, and authority to impose such requirements is authorized by local governments whose boundaries include a “first magnitude spring,” as defined in the bill.</w:t>
      </w:r>
      <w:r w:rsidR="00B04E9C">
        <w:t xml:space="preserve"> (See Section 32).</w:t>
      </w:r>
    </w:p>
    <w:p w:rsidR="0060730E" w:rsidRDefault="0060730E" w:rsidP="0060730E">
      <w:pPr>
        <w:pStyle w:val="ListParagraph"/>
      </w:pPr>
    </w:p>
    <w:p w:rsidR="0029168D" w:rsidRDefault="00251EB1" w:rsidP="00A9360E">
      <w:pPr>
        <w:pStyle w:val="BlockText"/>
        <w:numPr>
          <w:ilvl w:val="0"/>
          <w:numId w:val="30"/>
        </w:numPr>
      </w:pPr>
      <w:r w:rsidRPr="00251EB1">
        <w:rPr>
          <w:b/>
        </w:rPr>
        <w:t>Financial Services</w:t>
      </w:r>
      <w:r w:rsidR="00CA1872">
        <w:t>: Workers’ Compensation Insu</w:t>
      </w:r>
      <w:r w:rsidR="002E2A6D">
        <w:t>rance – Chapter 440 and 69L FAC:</w:t>
      </w:r>
      <w:r w:rsidR="00026C6B">
        <w:t xml:space="preserve"> </w:t>
      </w:r>
    </w:p>
    <w:p w:rsidR="0029168D" w:rsidRDefault="0029168D" w:rsidP="0029168D">
      <w:pPr>
        <w:pStyle w:val="BlockText"/>
        <w:ind w:left="720"/>
      </w:pPr>
      <w:r>
        <w:t>]</w:t>
      </w:r>
    </w:p>
    <w:p w:rsidR="00026C6B" w:rsidRDefault="00EC539A" w:rsidP="0029168D">
      <w:pPr>
        <w:pStyle w:val="BlockText"/>
        <w:ind w:left="360"/>
      </w:pPr>
      <w:r w:rsidRPr="0029168D">
        <w:rPr>
          <w:b/>
          <w:u w:val="single"/>
        </w:rPr>
        <w:t>NEW NOTICE:</w:t>
      </w:r>
      <w:r>
        <w:t xml:space="preserve"> Beginning </w:t>
      </w:r>
      <w:r w:rsidRPr="000B0E17">
        <w:rPr>
          <w:u w:val="single"/>
        </w:rPr>
        <w:t>July 1, 2012</w:t>
      </w:r>
      <w:r>
        <w:t xml:space="preserve">, applications for exemption from workers’ compensation insurance can be made on-line at </w:t>
      </w:r>
      <w:r w:rsidRPr="0029168D">
        <w:rPr>
          <w:u w:val="single"/>
        </w:rPr>
        <w:t>myfloridacfo.com/wc</w:t>
      </w:r>
      <w:r>
        <w:t xml:space="preserve">. </w:t>
      </w:r>
      <w:r w:rsidR="0029168D">
        <w:t>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3C265E" w:rsidRDefault="003C265E" w:rsidP="0029168D">
      <w:pPr>
        <w:pStyle w:val="BlockText"/>
        <w:ind w:left="360"/>
      </w:pPr>
    </w:p>
    <w:p w:rsidR="003C265E" w:rsidRPr="003C265E" w:rsidRDefault="003C265E" w:rsidP="003C265E">
      <w:pPr>
        <w:pStyle w:val="BlockText"/>
        <w:ind w:left="360"/>
        <w:rPr>
          <w:b/>
          <w:i/>
          <w:u w:val="single"/>
        </w:rPr>
      </w:pPr>
      <w:r w:rsidRPr="003C265E">
        <w:rPr>
          <w:b/>
          <w:i/>
          <w:u w:val="single"/>
        </w:rPr>
        <w:t xml:space="preserve">IMPORTANT UNDATE: Out-of-state applicants who do NOT have Florida driver’s license or identification </w:t>
      </w:r>
      <w:r w:rsidR="00EC539A" w:rsidRPr="003C265E">
        <w:rPr>
          <w:b/>
          <w:i/>
          <w:u w:val="single"/>
        </w:rPr>
        <w:t>card</w:t>
      </w:r>
      <w:r w:rsidRPr="003C265E">
        <w:rPr>
          <w:b/>
          <w:i/>
          <w:u w:val="single"/>
        </w:rPr>
        <w:t xml:space="preserve"> should submit their applications in hard copy for processing. This is a “glitch” in the new law, but the department is allowing this “fix” until the legislature has an opportunity to again change the statute.</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B04E9C" w:rsidRDefault="00222C12" w:rsidP="005F17D4">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60730E" w:rsidRPr="005F17D4" w:rsidRDefault="0060730E" w:rsidP="005F17D4">
      <w:pPr>
        <w:pStyle w:val="BlockText"/>
        <w:ind w:left="360"/>
      </w:pPr>
    </w:p>
    <w:p w:rsidR="002B78B0" w:rsidRDefault="002B78B0" w:rsidP="002B78B0">
      <w:pPr>
        <w:pStyle w:val="BlockText"/>
        <w:rPr>
          <w:b/>
          <w:u w:val="single"/>
        </w:rPr>
      </w:pPr>
    </w:p>
    <w:p w:rsidR="009C6CE8" w:rsidRDefault="00CF37B7" w:rsidP="002B78B0">
      <w:pPr>
        <w:pStyle w:val="BlockText"/>
      </w:pPr>
      <w:r w:rsidRPr="00CD02EB">
        <w:rPr>
          <w:b/>
          <w:u w:val="single"/>
        </w:rPr>
        <w:t>Legislative Action:</w:t>
      </w:r>
      <w:r w:rsidR="00156092">
        <w:t xml:space="preserve"> Nothing to report</w:t>
      </w:r>
      <w:r w:rsidR="000324B5">
        <w:t xml:space="preserve"> since the new regularly schedule legislative session will not begin until March 2013, and bills are not usually filed</w:t>
      </w:r>
      <w:r w:rsidR="00274276">
        <w:t xml:space="preserve"> and committee meetings are not usually held</w:t>
      </w:r>
      <w:r w:rsidR="000324B5">
        <w:t xml:space="preserve"> prior to the outcome of the general elections in November</w:t>
      </w:r>
      <w:r w:rsidR="00274276">
        <w:t xml:space="preserve"> 2012</w:t>
      </w:r>
      <w:r w:rsidR="0060730E">
        <w:t>.</w:t>
      </w:r>
    </w:p>
    <w:p w:rsidR="00156092" w:rsidRDefault="00156092" w:rsidP="002B78B0">
      <w:pPr>
        <w:pStyle w:val="BlockText"/>
      </w:pPr>
    </w:p>
    <w:p w:rsidR="00156092" w:rsidRDefault="00156092" w:rsidP="002B78B0">
      <w:pPr>
        <w:pStyle w:val="BlockText"/>
      </w:pPr>
      <w:r>
        <w:t>Respectfully submitted,</w:t>
      </w:r>
    </w:p>
    <w:p w:rsidR="00156092" w:rsidRDefault="00156092" w:rsidP="002B78B0">
      <w:pPr>
        <w:pStyle w:val="BlockText"/>
      </w:pPr>
    </w:p>
    <w:p w:rsidR="00156092" w:rsidRDefault="00A9360E" w:rsidP="002B78B0">
      <w:pPr>
        <w:pStyle w:val="BlockText"/>
      </w:pPr>
      <w:r>
        <w:t>September 8</w:t>
      </w:r>
      <w:r w:rsidR="0029168D">
        <w:t>, 2</w:t>
      </w:r>
      <w:r w:rsidR="00156092">
        <w:t>012.</w:t>
      </w:r>
    </w:p>
    <w:p w:rsidR="009C6CE8" w:rsidRDefault="009C6CE8" w:rsidP="00922A6D">
      <w:pPr>
        <w:pStyle w:val="BlockText"/>
        <w:ind w:left="360"/>
      </w:pPr>
    </w:p>
    <w:sectPr w:rsidR="009C6CE8"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E9D" w:rsidRDefault="00143E9D" w:rsidP="009A2CBA">
      <w:r>
        <w:separator/>
      </w:r>
    </w:p>
  </w:endnote>
  <w:endnote w:type="continuationSeparator" w:id="0">
    <w:p w:rsidR="00143E9D" w:rsidRDefault="00143E9D"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756" w:rsidRDefault="003937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Default="005A74C3" w:rsidP="000421B5">
    <w:pPr>
      <w:pStyle w:val="Footer"/>
    </w:pPr>
    <w:r>
      <w:tab/>
    </w:r>
    <w:fldSimple w:instr=" PAGE   \* MERGEFORMAT ">
      <w:r w:rsidR="00BF26CF">
        <w:rPr>
          <w:noProof/>
        </w:rPr>
        <w:t>2</w:t>
      </w:r>
    </w:fldSimple>
  </w:p>
  <w:p w:rsidR="005A74C3" w:rsidRPr="00911FE4" w:rsidRDefault="00393756" w:rsidP="000421B5">
    <w:pPr>
      <w:pStyle w:val="Footer"/>
      <w:rPr>
        <w:rStyle w:val="DocID"/>
      </w:rPr>
    </w:pPr>
    <w:r w:rsidRPr="00393756">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Pr="00911FE4" w:rsidRDefault="00457701" w:rsidP="000421B5">
    <w:pPr>
      <w:pStyle w:val="Footer"/>
      <w:rPr>
        <w:rStyle w:val="DocID"/>
      </w:rPr>
    </w:pPr>
    <w:r>
      <w:rPr>
        <w:sz w:val="20"/>
      </w:rPr>
      <w:fldChar w:fldCharType="begin"/>
    </w:r>
    <w:r w:rsidR="005A74C3">
      <w:rPr>
        <w:sz w:val="20"/>
      </w:rPr>
      <w:instrText xml:space="preserve"> If </w:instrText>
    </w:r>
    <w:r>
      <w:rPr>
        <w:sz w:val="20"/>
      </w:rPr>
      <w:fldChar w:fldCharType="begin"/>
    </w:r>
    <w:r w:rsidR="005A74C3">
      <w:rPr>
        <w:sz w:val="20"/>
      </w:rPr>
      <w:instrText xml:space="preserve"> numpages </w:instrText>
    </w:r>
    <w:r>
      <w:rPr>
        <w:sz w:val="20"/>
      </w:rPr>
      <w:fldChar w:fldCharType="separate"/>
    </w:r>
    <w:r w:rsidR="00BF26CF">
      <w:rPr>
        <w:noProof/>
        <w:sz w:val="20"/>
      </w:rPr>
      <w:instrText>1</w:instrText>
    </w:r>
    <w:r>
      <w:rPr>
        <w:sz w:val="20"/>
      </w:rPr>
      <w:fldChar w:fldCharType="end"/>
    </w:r>
    <w:r w:rsidR="005A74C3">
      <w:rPr>
        <w:sz w:val="20"/>
      </w:rPr>
      <w:instrText xml:space="preserve"> = 1 </w:instrText>
    </w:r>
    <w:r w:rsidR="005A74C3" w:rsidRPr="00F4233A">
      <w:rPr>
        <w:rStyle w:val="DocID"/>
      </w:rPr>
      <w:instrText>#9751992_v1</w:instrText>
    </w:r>
    <w:r w:rsidR="005A74C3">
      <w:instrText xml:space="preserve"> ""</w:instrText>
    </w:r>
    <w:r w:rsidR="005A74C3">
      <w:rPr>
        <w:sz w:val="20"/>
      </w:rPr>
      <w:instrText xml:space="preserve"> </w:instrText>
    </w:r>
    <w:r w:rsidR="00BF26CF">
      <w:rPr>
        <w:sz w:val="20"/>
      </w:rPr>
      <w:fldChar w:fldCharType="separate"/>
    </w:r>
    <w:r w:rsidR="00BF26CF"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E9D" w:rsidRDefault="00143E9D" w:rsidP="009A2CBA">
      <w:r>
        <w:separator/>
      </w:r>
    </w:p>
  </w:footnote>
  <w:footnote w:type="continuationSeparator" w:id="0">
    <w:p w:rsidR="00143E9D" w:rsidRDefault="00143E9D" w:rsidP="009A2CBA">
      <w:r>
        <w:continuationSeparator/>
      </w:r>
    </w:p>
  </w:footnote>
  <w:footnote w:id="1">
    <w:p w:rsidR="005A74C3" w:rsidRDefault="005A74C3"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5A74C3" w:rsidRDefault="005A74C3">
      <w:pPr>
        <w:pStyle w:val="FootnoteText"/>
      </w:pPr>
    </w:p>
  </w:footnote>
  <w:footnote w:id="2">
    <w:p w:rsidR="005A74C3" w:rsidRPr="0038047E" w:rsidRDefault="005A74C3" w:rsidP="0038047E">
      <w:pPr>
        <w:pStyle w:val="BlockText"/>
      </w:pPr>
      <w:r>
        <w:rPr>
          <w:rStyle w:val="FootnoteReference"/>
        </w:rPr>
        <w:footnoteRef/>
      </w:r>
      <w:r>
        <w:t xml:space="preserve"> </w:t>
      </w:r>
      <w:r w:rsidRPr="0038047E">
        <w:t xml:space="preserve">As part of the TRANSFER of this commission from the now-defunct Department of Community Affairs to the Department of Business and Professional Regulation, all rules from </w:t>
      </w:r>
      <w:r w:rsidR="000324B5">
        <w:t xml:space="preserve">former </w:t>
      </w:r>
      <w:r w:rsidRPr="0038047E">
        <w:t>Chapter 9N have been TRANSFERRED to Chapter 61G20, FAC.</w:t>
      </w:r>
    </w:p>
    <w:p w:rsidR="005A74C3" w:rsidRDefault="005A74C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756" w:rsidRDefault="003937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756" w:rsidRDefault="003937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756" w:rsidRDefault="003937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0"/>
  </w:num>
  <w:num w:numId="4">
    <w:abstractNumId w:val="10"/>
  </w:num>
  <w:num w:numId="5">
    <w:abstractNumId w:val="37"/>
  </w:num>
  <w:num w:numId="6">
    <w:abstractNumId w:val="30"/>
  </w:num>
  <w:num w:numId="7">
    <w:abstractNumId w:val="28"/>
  </w:num>
  <w:num w:numId="8">
    <w:abstractNumId w:val="45"/>
  </w:num>
  <w:num w:numId="9">
    <w:abstractNumId w:val="29"/>
  </w:num>
  <w:num w:numId="10">
    <w:abstractNumId w:val="6"/>
  </w:num>
  <w:num w:numId="11">
    <w:abstractNumId w:val="5"/>
  </w:num>
  <w:num w:numId="12">
    <w:abstractNumId w:val="8"/>
  </w:num>
  <w:num w:numId="13">
    <w:abstractNumId w:val="19"/>
  </w:num>
  <w:num w:numId="14">
    <w:abstractNumId w:val="36"/>
  </w:num>
  <w:num w:numId="15">
    <w:abstractNumId w:val="41"/>
  </w:num>
  <w:num w:numId="16">
    <w:abstractNumId w:val="43"/>
  </w:num>
  <w:num w:numId="17">
    <w:abstractNumId w:val="32"/>
  </w:num>
  <w:num w:numId="18">
    <w:abstractNumId w:val="9"/>
  </w:num>
  <w:num w:numId="19">
    <w:abstractNumId w:val="39"/>
  </w:num>
  <w:num w:numId="20">
    <w:abstractNumId w:val="44"/>
  </w:num>
  <w:num w:numId="21">
    <w:abstractNumId w:val="31"/>
  </w:num>
  <w:num w:numId="22">
    <w:abstractNumId w:val="46"/>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8"/>
  </w:num>
  <w:num w:numId="38">
    <w:abstractNumId w:val="42"/>
  </w:num>
  <w:num w:numId="39">
    <w:abstractNumId w:val="40"/>
  </w:num>
  <w:num w:numId="40">
    <w:abstractNumId w:val="35"/>
  </w:num>
  <w:num w:numId="41">
    <w:abstractNumId w:val="33"/>
  </w:num>
  <w:num w:numId="42">
    <w:abstractNumId w:val="14"/>
  </w:num>
  <w:num w:numId="43">
    <w:abstractNumId w:val="26"/>
  </w:num>
  <w:num w:numId="44">
    <w:abstractNumId w:val="20"/>
  </w:num>
  <w:num w:numId="45">
    <w:abstractNumId w:val="15"/>
  </w:num>
  <w:num w:numId="46">
    <w:abstractNumId w:val="4"/>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6A29"/>
    <w:rsid w:val="00026C6B"/>
    <w:rsid w:val="00027FC3"/>
    <w:rsid w:val="000302BC"/>
    <w:rsid w:val="000324B5"/>
    <w:rsid w:val="000341ED"/>
    <w:rsid w:val="000421B5"/>
    <w:rsid w:val="0005012E"/>
    <w:rsid w:val="000509E7"/>
    <w:rsid w:val="00054D0D"/>
    <w:rsid w:val="0005515D"/>
    <w:rsid w:val="00055700"/>
    <w:rsid w:val="00084298"/>
    <w:rsid w:val="000A3246"/>
    <w:rsid w:val="000A4BA4"/>
    <w:rsid w:val="000B0E17"/>
    <w:rsid w:val="000B1DDB"/>
    <w:rsid w:val="000B76DD"/>
    <w:rsid w:val="000D2555"/>
    <w:rsid w:val="000E17E8"/>
    <w:rsid w:val="000F6911"/>
    <w:rsid w:val="00100E22"/>
    <w:rsid w:val="00103CDF"/>
    <w:rsid w:val="00107362"/>
    <w:rsid w:val="00110D3B"/>
    <w:rsid w:val="001114F7"/>
    <w:rsid w:val="001148B5"/>
    <w:rsid w:val="001156AF"/>
    <w:rsid w:val="00117224"/>
    <w:rsid w:val="00117544"/>
    <w:rsid w:val="00126ABD"/>
    <w:rsid w:val="00143E9D"/>
    <w:rsid w:val="00146E4E"/>
    <w:rsid w:val="001476D7"/>
    <w:rsid w:val="00151720"/>
    <w:rsid w:val="00151F43"/>
    <w:rsid w:val="00156092"/>
    <w:rsid w:val="001572A8"/>
    <w:rsid w:val="00172C04"/>
    <w:rsid w:val="00175923"/>
    <w:rsid w:val="0019065B"/>
    <w:rsid w:val="001963BC"/>
    <w:rsid w:val="001A6BB0"/>
    <w:rsid w:val="001B11FD"/>
    <w:rsid w:val="001B6195"/>
    <w:rsid w:val="001B73F6"/>
    <w:rsid w:val="001D1B70"/>
    <w:rsid w:val="001D25D1"/>
    <w:rsid w:val="001D50A8"/>
    <w:rsid w:val="001E327E"/>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74276"/>
    <w:rsid w:val="002857BE"/>
    <w:rsid w:val="00286558"/>
    <w:rsid w:val="00290B6F"/>
    <w:rsid w:val="0029168D"/>
    <w:rsid w:val="00294F80"/>
    <w:rsid w:val="002A4DD8"/>
    <w:rsid w:val="002B0DFC"/>
    <w:rsid w:val="002B3E98"/>
    <w:rsid w:val="002B78B0"/>
    <w:rsid w:val="002C378F"/>
    <w:rsid w:val="002C5E1D"/>
    <w:rsid w:val="002D1599"/>
    <w:rsid w:val="002D4362"/>
    <w:rsid w:val="002E2A6D"/>
    <w:rsid w:val="002F015B"/>
    <w:rsid w:val="00305D83"/>
    <w:rsid w:val="00305FDE"/>
    <w:rsid w:val="00311BC1"/>
    <w:rsid w:val="003134D3"/>
    <w:rsid w:val="0031487D"/>
    <w:rsid w:val="003239B0"/>
    <w:rsid w:val="0032598E"/>
    <w:rsid w:val="003319A7"/>
    <w:rsid w:val="003376F7"/>
    <w:rsid w:val="00340637"/>
    <w:rsid w:val="00340740"/>
    <w:rsid w:val="00345235"/>
    <w:rsid w:val="003473F4"/>
    <w:rsid w:val="003563EF"/>
    <w:rsid w:val="0038047E"/>
    <w:rsid w:val="00383EFB"/>
    <w:rsid w:val="00384141"/>
    <w:rsid w:val="00385904"/>
    <w:rsid w:val="00393756"/>
    <w:rsid w:val="003A1E91"/>
    <w:rsid w:val="003A33A5"/>
    <w:rsid w:val="003A4FB0"/>
    <w:rsid w:val="003B5B30"/>
    <w:rsid w:val="003C09F0"/>
    <w:rsid w:val="003C265E"/>
    <w:rsid w:val="003C50CC"/>
    <w:rsid w:val="003D34DF"/>
    <w:rsid w:val="003E13A7"/>
    <w:rsid w:val="00416C25"/>
    <w:rsid w:val="004200FB"/>
    <w:rsid w:val="00425FE8"/>
    <w:rsid w:val="004406AC"/>
    <w:rsid w:val="00454846"/>
    <w:rsid w:val="00457701"/>
    <w:rsid w:val="004634BE"/>
    <w:rsid w:val="00465432"/>
    <w:rsid w:val="0047003F"/>
    <w:rsid w:val="00474D96"/>
    <w:rsid w:val="00484B9C"/>
    <w:rsid w:val="00492027"/>
    <w:rsid w:val="004A0671"/>
    <w:rsid w:val="004A451E"/>
    <w:rsid w:val="004A5613"/>
    <w:rsid w:val="004A582F"/>
    <w:rsid w:val="004A6E9B"/>
    <w:rsid w:val="004B196B"/>
    <w:rsid w:val="004C458B"/>
    <w:rsid w:val="004C63D8"/>
    <w:rsid w:val="004D159B"/>
    <w:rsid w:val="004E35D0"/>
    <w:rsid w:val="004E61C2"/>
    <w:rsid w:val="004F030C"/>
    <w:rsid w:val="004F3D87"/>
    <w:rsid w:val="00500503"/>
    <w:rsid w:val="00504537"/>
    <w:rsid w:val="00512724"/>
    <w:rsid w:val="00520F5E"/>
    <w:rsid w:val="005237C4"/>
    <w:rsid w:val="00535353"/>
    <w:rsid w:val="005463F4"/>
    <w:rsid w:val="00553CBE"/>
    <w:rsid w:val="00555FBF"/>
    <w:rsid w:val="005A61CC"/>
    <w:rsid w:val="005A74C3"/>
    <w:rsid w:val="005B212C"/>
    <w:rsid w:val="005B2CCD"/>
    <w:rsid w:val="005C08FA"/>
    <w:rsid w:val="005C40F9"/>
    <w:rsid w:val="005C5CFC"/>
    <w:rsid w:val="005D217B"/>
    <w:rsid w:val="005F17D4"/>
    <w:rsid w:val="005F1FB3"/>
    <w:rsid w:val="005F4A79"/>
    <w:rsid w:val="00600D46"/>
    <w:rsid w:val="0060730E"/>
    <w:rsid w:val="00614279"/>
    <w:rsid w:val="00620CC5"/>
    <w:rsid w:val="0063517A"/>
    <w:rsid w:val="0064458E"/>
    <w:rsid w:val="00644BDC"/>
    <w:rsid w:val="0064574F"/>
    <w:rsid w:val="006465C5"/>
    <w:rsid w:val="00654846"/>
    <w:rsid w:val="006577D7"/>
    <w:rsid w:val="00660F73"/>
    <w:rsid w:val="00667D54"/>
    <w:rsid w:val="00675E10"/>
    <w:rsid w:val="00685808"/>
    <w:rsid w:val="00697F28"/>
    <w:rsid w:val="006A3A6B"/>
    <w:rsid w:val="006B1D63"/>
    <w:rsid w:val="006B60DD"/>
    <w:rsid w:val="006D3AD0"/>
    <w:rsid w:val="006D7744"/>
    <w:rsid w:val="006E5C27"/>
    <w:rsid w:val="006F336C"/>
    <w:rsid w:val="007017B0"/>
    <w:rsid w:val="0070218E"/>
    <w:rsid w:val="007065A1"/>
    <w:rsid w:val="007150E1"/>
    <w:rsid w:val="00722B80"/>
    <w:rsid w:val="00774A2B"/>
    <w:rsid w:val="007755F6"/>
    <w:rsid w:val="00780CCE"/>
    <w:rsid w:val="007862BD"/>
    <w:rsid w:val="00793514"/>
    <w:rsid w:val="007977D0"/>
    <w:rsid w:val="007A040E"/>
    <w:rsid w:val="007A2C34"/>
    <w:rsid w:val="007A7335"/>
    <w:rsid w:val="007B455D"/>
    <w:rsid w:val="007E128E"/>
    <w:rsid w:val="007E4176"/>
    <w:rsid w:val="007F2F12"/>
    <w:rsid w:val="00801B02"/>
    <w:rsid w:val="00812FF0"/>
    <w:rsid w:val="00820D75"/>
    <w:rsid w:val="00821688"/>
    <w:rsid w:val="008219AB"/>
    <w:rsid w:val="0082467E"/>
    <w:rsid w:val="008271F6"/>
    <w:rsid w:val="00832281"/>
    <w:rsid w:val="00832A42"/>
    <w:rsid w:val="0083319A"/>
    <w:rsid w:val="00833649"/>
    <w:rsid w:val="008642DB"/>
    <w:rsid w:val="00864F61"/>
    <w:rsid w:val="008667F9"/>
    <w:rsid w:val="008714D7"/>
    <w:rsid w:val="00875906"/>
    <w:rsid w:val="00883771"/>
    <w:rsid w:val="0089089A"/>
    <w:rsid w:val="008A4467"/>
    <w:rsid w:val="008A7FFE"/>
    <w:rsid w:val="008B06DE"/>
    <w:rsid w:val="008B10F9"/>
    <w:rsid w:val="008B6B8E"/>
    <w:rsid w:val="008B6F95"/>
    <w:rsid w:val="008C0D2B"/>
    <w:rsid w:val="008C44B6"/>
    <w:rsid w:val="008C4CD7"/>
    <w:rsid w:val="008C57F6"/>
    <w:rsid w:val="008C6567"/>
    <w:rsid w:val="008D5528"/>
    <w:rsid w:val="008D7EAD"/>
    <w:rsid w:val="009008DD"/>
    <w:rsid w:val="0090334E"/>
    <w:rsid w:val="009037AF"/>
    <w:rsid w:val="00912B18"/>
    <w:rsid w:val="00922A6D"/>
    <w:rsid w:val="00927A0D"/>
    <w:rsid w:val="00927EF0"/>
    <w:rsid w:val="00933C83"/>
    <w:rsid w:val="00936542"/>
    <w:rsid w:val="00940447"/>
    <w:rsid w:val="009408A6"/>
    <w:rsid w:val="00944330"/>
    <w:rsid w:val="009459C3"/>
    <w:rsid w:val="0095190E"/>
    <w:rsid w:val="00952ED0"/>
    <w:rsid w:val="009615F7"/>
    <w:rsid w:val="0096439D"/>
    <w:rsid w:val="009679F7"/>
    <w:rsid w:val="00972224"/>
    <w:rsid w:val="0098369B"/>
    <w:rsid w:val="00990086"/>
    <w:rsid w:val="009939EF"/>
    <w:rsid w:val="00994DC4"/>
    <w:rsid w:val="009A1012"/>
    <w:rsid w:val="009A10B6"/>
    <w:rsid w:val="009A2CBA"/>
    <w:rsid w:val="009B472E"/>
    <w:rsid w:val="009B53D8"/>
    <w:rsid w:val="009B7504"/>
    <w:rsid w:val="009C6CE8"/>
    <w:rsid w:val="009C6F42"/>
    <w:rsid w:val="009E1F25"/>
    <w:rsid w:val="009E489B"/>
    <w:rsid w:val="009F3454"/>
    <w:rsid w:val="00A03908"/>
    <w:rsid w:val="00A05724"/>
    <w:rsid w:val="00A24F93"/>
    <w:rsid w:val="00A3799B"/>
    <w:rsid w:val="00A413D5"/>
    <w:rsid w:val="00A47BAD"/>
    <w:rsid w:val="00A47D5F"/>
    <w:rsid w:val="00A52BEC"/>
    <w:rsid w:val="00A57777"/>
    <w:rsid w:val="00A862A4"/>
    <w:rsid w:val="00A92BA2"/>
    <w:rsid w:val="00A9360E"/>
    <w:rsid w:val="00A973D9"/>
    <w:rsid w:val="00AA1C3B"/>
    <w:rsid w:val="00AA20DC"/>
    <w:rsid w:val="00AA2435"/>
    <w:rsid w:val="00AA49B9"/>
    <w:rsid w:val="00AB6124"/>
    <w:rsid w:val="00AB7A77"/>
    <w:rsid w:val="00AC560D"/>
    <w:rsid w:val="00AD19E4"/>
    <w:rsid w:val="00AD3673"/>
    <w:rsid w:val="00AD4A48"/>
    <w:rsid w:val="00AE40E2"/>
    <w:rsid w:val="00AE4928"/>
    <w:rsid w:val="00AF4CC5"/>
    <w:rsid w:val="00B04E9C"/>
    <w:rsid w:val="00B11BE8"/>
    <w:rsid w:val="00B1354A"/>
    <w:rsid w:val="00B34CB8"/>
    <w:rsid w:val="00B43413"/>
    <w:rsid w:val="00B51F07"/>
    <w:rsid w:val="00B55AA9"/>
    <w:rsid w:val="00B605B3"/>
    <w:rsid w:val="00B6409D"/>
    <w:rsid w:val="00B65A78"/>
    <w:rsid w:val="00B7209C"/>
    <w:rsid w:val="00B75D21"/>
    <w:rsid w:val="00B82F44"/>
    <w:rsid w:val="00B854DA"/>
    <w:rsid w:val="00B94BF6"/>
    <w:rsid w:val="00BA5910"/>
    <w:rsid w:val="00BB3CE8"/>
    <w:rsid w:val="00BB43FD"/>
    <w:rsid w:val="00BC3ED9"/>
    <w:rsid w:val="00BC5032"/>
    <w:rsid w:val="00BD0579"/>
    <w:rsid w:val="00BD1D69"/>
    <w:rsid w:val="00BE7E71"/>
    <w:rsid w:val="00BF06EC"/>
    <w:rsid w:val="00BF26CF"/>
    <w:rsid w:val="00BF5744"/>
    <w:rsid w:val="00BF5A88"/>
    <w:rsid w:val="00C0615F"/>
    <w:rsid w:val="00C10CCD"/>
    <w:rsid w:val="00C10FB4"/>
    <w:rsid w:val="00C15A97"/>
    <w:rsid w:val="00C16757"/>
    <w:rsid w:val="00C17A11"/>
    <w:rsid w:val="00C41104"/>
    <w:rsid w:val="00C42CAD"/>
    <w:rsid w:val="00C46B9E"/>
    <w:rsid w:val="00C527C3"/>
    <w:rsid w:val="00C552DE"/>
    <w:rsid w:val="00C55BAE"/>
    <w:rsid w:val="00C613B0"/>
    <w:rsid w:val="00C666BD"/>
    <w:rsid w:val="00C71560"/>
    <w:rsid w:val="00C80F74"/>
    <w:rsid w:val="00C8621F"/>
    <w:rsid w:val="00CA1872"/>
    <w:rsid w:val="00CA1D5A"/>
    <w:rsid w:val="00CA5910"/>
    <w:rsid w:val="00CA6A88"/>
    <w:rsid w:val="00CB0D76"/>
    <w:rsid w:val="00CB18D5"/>
    <w:rsid w:val="00CB393B"/>
    <w:rsid w:val="00CD02EB"/>
    <w:rsid w:val="00CF2384"/>
    <w:rsid w:val="00CF2DBD"/>
    <w:rsid w:val="00CF37B7"/>
    <w:rsid w:val="00CF7C33"/>
    <w:rsid w:val="00D15049"/>
    <w:rsid w:val="00D17EF8"/>
    <w:rsid w:val="00D31E05"/>
    <w:rsid w:val="00D35E4B"/>
    <w:rsid w:val="00D42313"/>
    <w:rsid w:val="00D45220"/>
    <w:rsid w:val="00D51EF8"/>
    <w:rsid w:val="00D532DF"/>
    <w:rsid w:val="00D5683A"/>
    <w:rsid w:val="00D6075F"/>
    <w:rsid w:val="00D64A8A"/>
    <w:rsid w:val="00D74A8F"/>
    <w:rsid w:val="00D8155F"/>
    <w:rsid w:val="00D83830"/>
    <w:rsid w:val="00D8408A"/>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A5D"/>
    <w:rsid w:val="00DF0B84"/>
    <w:rsid w:val="00DF255F"/>
    <w:rsid w:val="00DF4C21"/>
    <w:rsid w:val="00E07E81"/>
    <w:rsid w:val="00E10E84"/>
    <w:rsid w:val="00E16D83"/>
    <w:rsid w:val="00E30C2C"/>
    <w:rsid w:val="00E311DC"/>
    <w:rsid w:val="00E31752"/>
    <w:rsid w:val="00E3534A"/>
    <w:rsid w:val="00E4082C"/>
    <w:rsid w:val="00E4444A"/>
    <w:rsid w:val="00E66470"/>
    <w:rsid w:val="00E95DE1"/>
    <w:rsid w:val="00E97E26"/>
    <w:rsid w:val="00EA1B72"/>
    <w:rsid w:val="00EA3A1A"/>
    <w:rsid w:val="00EA49A8"/>
    <w:rsid w:val="00EB0314"/>
    <w:rsid w:val="00EB2DD7"/>
    <w:rsid w:val="00EB56F6"/>
    <w:rsid w:val="00EB61E2"/>
    <w:rsid w:val="00EC0471"/>
    <w:rsid w:val="00EC3C0E"/>
    <w:rsid w:val="00EC539A"/>
    <w:rsid w:val="00ED39C3"/>
    <w:rsid w:val="00EE41E2"/>
    <w:rsid w:val="00EF1953"/>
    <w:rsid w:val="00EF2D9E"/>
    <w:rsid w:val="00EF3BC8"/>
    <w:rsid w:val="00EF7F7D"/>
    <w:rsid w:val="00F003DC"/>
    <w:rsid w:val="00F023FE"/>
    <w:rsid w:val="00F0773C"/>
    <w:rsid w:val="00F10ABD"/>
    <w:rsid w:val="00F1558B"/>
    <w:rsid w:val="00F15B84"/>
    <w:rsid w:val="00F16CBD"/>
    <w:rsid w:val="00F17078"/>
    <w:rsid w:val="00F21394"/>
    <w:rsid w:val="00F33F66"/>
    <w:rsid w:val="00F372CE"/>
    <w:rsid w:val="00F4233A"/>
    <w:rsid w:val="00F43272"/>
    <w:rsid w:val="00F50B67"/>
    <w:rsid w:val="00F52831"/>
    <w:rsid w:val="00F53B73"/>
    <w:rsid w:val="00F53D3E"/>
    <w:rsid w:val="00F56C3E"/>
    <w:rsid w:val="00F60C95"/>
    <w:rsid w:val="00F61714"/>
    <w:rsid w:val="00F7015E"/>
    <w:rsid w:val="00F7297C"/>
    <w:rsid w:val="00F828AE"/>
    <w:rsid w:val="00F85ED6"/>
    <w:rsid w:val="00F9398C"/>
    <w:rsid w:val="00F9535D"/>
    <w:rsid w:val="00F97BF7"/>
    <w:rsid w:val="00FA2710"/>
    <w:rsid w:val="00FA5090"/>
    <w:rsid w:val="00FB554A"/>
    <w:rsid w:val="00FB588A"/>
    <w:rsid w:val="00FC0694"/>
    <w:rsid w:val="00FC6F29"/>
    <w:rsid w:val="00FD1341"/>
    <w:rsid w:val="00FE3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2752</Words>
  <Characters>15113</Characters>
  <Application>Microsoft Office Word</Application>
  <DocSecurity>0</DocSecurity>
  <Lines>341</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17815</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2012-09-08T23:33:00Z</cp:lastPrinted>
  <dcterms:created xsi:type="dcterms:W3CDTF">2012-09-08T23:36:00Z</dcterms:created>
  <dcterms:modified xsi:type="dcterms:W3CDTF">2012-09-08T23:36:00Z</dcterms:modified>
  <cp:category> </cp:category>
  <cp:contentStatus> </cp:contentStatus>
</cp:coreProperties>
</file>