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EF7F7D">
        <w:t>: May</w:t>
      </w:r>
      <w:r w:rsidR="006B60DD">
        <w:t xml:space="preserve"> </w:t>
      </w:r>
      <w:r w:rsidR="00944330">
        <w:t>2012</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AA1C3B" w:rsidRDefault="00AA1C3B" w:rsidP="00DF255F">
      <w:pPr>
        <w:pStyle w:val="BlockText"/>
      </w:pPr>
    </w:p>
    <w:p w:rsidR="004634BE" w:rsidRDefault="0005515D" w:rsidP="00EF7F7D">
      <w:pPr>
        <w:pStyle w:val="BlockText"/>
        <w:ind w:firstLine="720"/>
      </w:pPr>
      <w:r>
        <w:rPr>
          <w:i/>
          <w:u w:val="single"/>
        </w:rPr>
        <w:t>Jerome Felman v. Villa Regina Association, Inc.</w:t>
      </w:r>
      <w:r w:rsidR="00AA1C3B" w:rsidRPr="00AA1C3B">
        <w:rPr>
          <w:i/>
          <w:u w:val="single"/>
        </w:rPr>
        <w:t xml:space="preserve">, </w:t>
      </w:r>
      <w:r>
        <w:t>37 Fla. L. Weekly D1065</w:t>
      </w:r>
      <w:r w:rsidR="00AA1C3B">
        <w:t xml:space="preserve">a, Case No. </w:t>
      </w:r>
      <w:r>
        <w:t>3D10-1328, filed May 2, 2012: In a case for damages caused by water intrusion, owner sought permanent damages only for “diminution of value.” Based on jury’s findings that damages were only temporary, and that no admissible evidence was introduced regarding damages for repairs, judgment was reversed.</w:t>
      </w:r>
    </w:p>
    <w:p w:rsidR="0005515D" w:rsidRDefault="0005515D" w:rsidP="0005515D">
      <w:pPr>
        <w:pStyle w:val="BlockText"/>
      </w:pPr>
      <w:r w:rsidRPr="0005515D">
        <w:rPr>
          <w:u w:val="single"/>
        </w:rPr>
        <w:t>Editor’s Note:</w:t>
      </w:r>
      <w:r>
        <w:t xml:space="preserve"> While not referenced in this opinion, the facts in this case seem to involve the “economic LOSS” doctrine, where the cost of repairs exceeds the value of the property in its original condition; in such cases, damages are deemed to be permanent, and are measured by the reduction or loss of market value.</w:t>
      </w:r>
    </w:p>
    <w:p w:rsidR="0005515D" w:rsidRDefault="0005515D" w:rsidP="0005515D">
      <w:pPr>
        <w:pStyle w:val="BlockText"/>
      </w:pPr>
    </w:p>
    <w:p w:rsidR="0005515D" w:rsidRDefault="0005515D" w:rsidP="0005515D">
      <w:pPr>
        <w:pStyle w:val="BlockText"/>
      </w:pPr>
      <w:r>
        <w:tab/>
      </w:r>
      <w:r w:rsidRPr="0005515D">
        <w:rPr>
          <w:i/>
          <w:u w:val="single"/>
        </w:rPr>
        <w:t>Zofia Zak Rhodes v. Newport Building and Construction, Inc.</w:t>
      </w:r>
      <w:r>
        <w:t xml:space="preserve">, 37 Fla. L. Weekly D4091b, Case No. 2D10-3006, filed May 4, 2012: Order foreclosing construction lien </w:t>
      </w:r>
      <w:r w:rsidR="005B2CCD">
        <w:t xml:space="preserve">on incomplete residence </w:t>
      </w:r>
      <w:r>
        <w:t xml:space="preserve">was reversed, </w:t>
      </w:r>
      <w:r w:rsidR="005B2CCD">
        <w:t xml:space="preserve">because the property owner had already paid contractor the amount of an arbitration award for damages cause by breach of contract. </w:t>
      </w:r>
      <w:r>
        <w:t>In addition, the trial court’s determination that the contractor was entitled to attorney fees was dismissed as a non-final non-appealable final order</w:t>
      </w:r>
      <w:r w:rsidR="005B2CCD">
        <w:t xml:space="preserve">. </w:t>
      </w:r>
    </w:p>
    <w:p w:rsidR="005B2CCD" w:rsidRDefault="005B2CCD" w:rsidP="0005515D">
      <w:pPr>
        <w:pStyle w:val="BlockText"/>
      </w:pPr>
      <w:r w:rsidRPr="005B2CCD">
        <w:rPr>
          <w:u w:val="single"/>
        </w:rPr>
        <w:t>Editor’s Note:</w:t>
      </w:r>
      <w:r>
        <w:t xml:space="preserve"> This case did not discuss that the lien included the balance due on the contract for the incomplete work, but the arbitration award included a major set off in favor of the owner.</w:t>
      </w:r>
    </w:p>
    <w:p w:rsidR="00620CC5" w:rsidRPr="00620CC5" w:rsidRDefault="00620CC5" w:rsidP="007E4176">
      <w:pPr>
        <w:pStyle w:val="BlockText"/>
        <w:ind w:firstLine="720"/>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8369B" w:rsidRPr="005B2CCD"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555FBF" w:rsidRPr="003B5B30">
        <w: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AF4CC5" w:rsidRPr="00AF4CC5"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156092" w:rsidRDefault="00156092" w:rsidP="00AF4CC5">
      <w:pPr>
        <w:pStyle w:val="BlockText"/>
        <w:ind w:left="1080"/>
        <w:rPr>
          <w:u w:val="single"/>
        </w:rPr>
      </w:pPr>
    </w:p>
    <w:p w:rsidR="008B06DE" w:rsidRPr="00156092" w:rsidRDefault="00AF4CC5" w:rsidP="00AF4CC5">
      <w:pPr>
        <w:pStyle w:val="BlockText"/>
        <w:ind w:left="1080"/>
        <w:rPr>
          <w:b/>
        </w:rPr>
      </w:pPr>
      <w:r>
        <w:rPr>
          <w:u w:val="single"/>
        </w:rPr>
        <w:t>Editor’s Note</w:t>
      </w:r>
      <w:r w:rsidRPr="00AF4CC5">
        <w:t>:</w:t>
      </w:r>
      <w:r>
        <w:t xml:space="preserve"> </w:t>
      </w:r>
      <w:r w:rsidRPr="00156092">
        <w:rPr>
          <w:b/>
        </w:rPr>
        <w:t>CHRISTOPHER COBB AS BEEN RECENTLY APPOINTED TO THIS BOARD.</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055700">
        <w:t xml:space="preserve"> </w:t>
      </w:r>
      <w:r w:rsidR="004A5613">
        <w:t xml:space="preserve">or amend </w:t>
      </w:r>
      <w:r>
        <w:t>the following rules</w:t>
      </w:r>
      <w:r w:rsidR="00927EF0">
        <w:t xml:space="preserve"> (if any):</w:t>
      </w:r>
    </w:p>
    <w:p w:rsidR="00055700" w:rsidRDefault="00055700" w:rsidP="00055700">
      <w:pPr>
        <w:pStyle w:val="BlockText"/>
        <w:ind w:left="1800"/>
      </w:pPr>
    </w:p>
    <w:p w:rsidR="00AF4CC5" w:rsidRDefault="00AF4CC5" w:rsidP="004A5613">
      <w:pPr>
        <w:pStyle w:val="BlockText"/>
        <w:numPr>
          <w:ilvl w:val="2"/>
          <w:numId w:val="32"/>
        </w:numPr>
      </w:pPr>
      <w:r>
        <w:t>Rule 61G4-15.018(2)</w:t>
      </w:r>
      <w:r w:rsidR="00055700">
        <w:t xml:space="preserve">, </w:t>
      </w:r>
      <w:r>
        <w:t>amending the definition of “glass and glazing contractor” to include: “structurally anchored impact-resistant opening protection, and storefront frames.</w:t>
      </w:r>
    </w:p>
    <w:p w:rsidR="00AF4CC5" w:rsidRDefault="00AF4CC5" w:rsidP="00AF4CC5">
      <w:pPr>
        <w:pStyle w:val="BlockText"/>
        <w:ind w:left="2520"/>
      </w:pPr>
    </w:p>
    <w:p w:rsidR="000B1DDB" w:rsidRDefault="00AF4CC5" w:rsidP="000B1DDB">
      <w:pPr>
        <w:pStyle w:val="BlockText"/>
        <w:numPr>
          <w:ilvl w:val="2"/>
          <w:numId w:val="32"/>
        </w:numPr>
      </w:pPr>
      <w:r>
        <w:t>Rule 61G4-18.001 is being considered by the board for possible expansion of topics allowed by CE Laws credit</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FA5090" w:rsidRDefault="008B06DE" w:rsidP="00BD1D69">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055700">
        <w:t>:</w:t>
      </w:r>
    </w:p>
    <w:p w:rsidR="00555FBF" w:rsidRDefault="00555FBF" w:rsidP="00555FBF">
      <w:pPr>
        <w:pStyle w:val="BlockText"/>
      </w:pPr>
    </w:p>
    <w:p w:rsidR="000341ED" w:rsidRDefault="00B7209C" w:rsidP="006465C5">
      <w:pPr>
        <w:pStyle w:val="BlockText"/>
        <w:numPr>
          <w:ilvl w:val="2"/>
          <w:numId w:val="32"/>
        </w:numPr>
      </w:pPr>
      <w:r>
        <w:t xml:space="preserve">Rosemary Hayes on behalf of </w:t>
      </w:r>
      <w:r w:rsidR="004A0671">
        <w:t xml:space="preserve">Mat Concessionaire, LLC </w:t>
      </w:r>
      <w:r w:rsidR="00832A42">
        <w:t xml:space="preserve">filed </w:t>
      </w:r>
      <w:r w:rsidR="000341ED">
        <w:t>on March 5, 2012, regarding whether a construction license is required for</w:t>
      </w:r>
      <w:r w:rsidR="00832A42">
        <w:t xml:space="preserve"> </w:t>
      </w:r>
      <w:r w:rsidR="000341ED">
        <w:t>a Florida Department of Transportation “Public-Private Partnership” project (the Miami Tunnel) pursuant to s</w:t>
      </w:r>
      <w:r>
        <w:t>ection 334.30, Florida Statutes, was found to lack standing and was dismissed. A Final Order has not yet been issued.</w:t>
      </w:r>
    </w:p>
    <w:p w:rsidR="000341ED" w:rsidRDefault="000341ED" w:rsidP="000341ED">
      <w:pPr>
        <w:pStyle w:val="ListParagraph"/>
      </w:pPr>
    </w:p>
    <w:p w:rsidR="006465C5" w:rsidRDefault="006465C5" w:rsidP="006465C5">
      <w:pPr>
        <w:pStyle w:val="BlockText"/>
        <w:numPr>
          <w:ilvl w:val="2"/>
          <w:numId w:val="32"/>
        </w:numPr>
      </w:pPr>
      <w:r>
        <w:t>Glen</w:t>
      </w:r>
      <w:r w:rsidR="004A0671">
        <w:t xml:space="preserve">n B. Pereno </w:t>
      </w:r>
      <w:r>
        <w:t>filed on April 9, 2012, regarding whether a certified building contractor can, pursuant to section 489.105(3)(b), perform remodeling, repairs or improvements of any size building up to three-stories when such does not effect the structural members of the building</w:t>
      </w:r>
      <w:r w:rsidR="00B7209C">
        <w:t>, was denied for lack of standing. A Final Order has not yet been issued</w:t>
      </w:r>
      <w:r>
        <w:t>.</w:t>
      </w:r>
    </w:p>
    <w:p w:rsidR="006465C5" w:rsidRDefault="006465C5" w:rsidP="006465C5">
      <w:pPr>
        <w:pStyle w:val="ListParagraph"/>
      </w:pPr>
    </w:p>
    <w:p w:rsidR="006465C5" w:rsidRDefault="006465C5" w:rsidP="006465C5">
      <w:pPr>
        <w:pStyle w:val="BlockText"/>
        <w:numPr>
          <w:ilvl w:val="2"/>
          <w:numId w:val="32"/>
        </w:numPr>
      </w:pPr>
      <w:r>
        <w:t>Singley Constructi</w:t>
      </w:r>
      <w:r w:rsidR="004A0671">
        <w:t xml:space="preserve">on Company, Inc. </w:t>
      </w:r>
      <w:r>
        <w:t>filed on April 10, 2012, regarding whether a state license is required under section 489.105(3)(p) for soil excavation where there is no tank on site</w:t>
      </w:r>
      <w:r w:rsidR="00B7209C">
        <w:t>, was denied for lack of standing. A Final Order has not yet been entered</w:t>
      </w:r>
      <w:r>
        <w:t>.</w:t>
      </w:r>
    </w:p>
    <w:p w:rsidR="00B7209C" w:rsidRDefault="00B7209C" w:rsidP="00B7209C">
      <w:pPr>
        <w:pStyle w:val="ListParagraph"/>
      </w:pPr>
    </w:p>
    <w:p w:rsidR="00B7209C" w:rsidRDefault="00B7209C" w:rsidP="006465C5">
      <w:pPr>
        <w:pStyle w:val="BlockText"/>
        <w:numPr>
          <w:ilvl w:val="2"/>
          <w:numId w:val="32"/>
        </w:numPr>
      </w:pPr>
      <w:r>
        <w:t>On May 11, 2012, this board was asked by DBPR (which licenses and regulates Home Inspectors pursuant to Part XV, Chapter 468, Florida Statutes), to reconsider the Declaratory Statement previously issued to Robert Koning that a licensed contractor can perform home inspection services. While the board appears to have denied such reconsideration, a revised Declaratory Statement was issued on May</w:t>
      </w:r>
      <w:r w:rsidR="00DF0B84">
        <w:t xml:space="preserve"> 16</w:t>
      </w:r>
      <w:r>
        <w:t>, removing all references to Chapter 468.</w:t>
      </w:r>
    </w:p>
    <w:p w:rsidR="006465C5" w:rsidRDefault="006465C5" w:rsidP="006465C5">
      <w:pPr>
        <w:pStyle w:val="ListParagraph"/>
      </w:pPr>
    </w:p>
    <w:p w:rsidR="008B06DE" w:rsidRDefault="008B06DE" w:rsidP="009B53D8">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103CDF">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103CDF">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103CDF">
        <w:t xml:space="preserve"> None.</w:t>
      </w:r>
    </w:p>
    <w:p w:rsidR="00055700" w:rsidRDefault="00055700" w:rsidP="00055700">
      <w:pPr>
        <w:pStyle w:val="ListParagraph"/>
      </w:pPr>
    </w:p>
    <w:p w:rsidR="008714D7" w:rsidRDefault="008B06DE" w:rsidP="008B06DE">
      <w:pPr>
        <w:pStyle w:val="BlockText"/>
        <w:numPr>
          <w:ilvl w:val="1"/>
          <w:numId w:val="32"/>
        </w:numPr>
      </w:pPr>
      <w:r>
        <w:t xml:space="preserve">This board has received </w:t>
      </w:r>
      <w:r w:rsidR="00555FBF">
        <w:t xml:space="preserve">or disposed of </w:t>
      </w:r>
      <w:r>
        <w:t>the following P</w:t>
      </w:r>
      <w:r w:rsidR="00927EF0">
        <w:t>etitions for Variance or Waiver (if any):</w:t>
      </w:r>
      <w:r w:rsidR="00DF0B84">
        <w:t xml:space="preserve"> On May 8, 2012, this board received a Petition from Brian Babernitch, seeking a waiver of Rule 61G6-6.017, F.A.C., requiring that a passing examination score is valid only for a period of two (2) years.</w:t>
      </w:r>
    </w:p>
    <w:p w:rsidR="00555FBF" w:rsidRDefault="00555FBF" w:rsidP="00DF0B84">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B06DE" w:rsidRDefault="008B06DE" w:rsidP="00DF0B84">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r w:rsidR="00DF0B84">
        <w:t>Rule 61G1-16.005 (amendment) to prohibit the use of a scanned image of an original signature</w:t>
      </w:r>
      <w:r w:rsidR="00103CDF">
        <w:t xml:space="preserve"> </w:t>
      </w:r>
      <w:r w:rsidR="00DF0B84">
        <w:t>in lieu of a digital or electronic signature and setting forth the requirements for a digital signature.</w:t>
      </w:r>
    </w:p>
    <w:p w:rsidR="00DF0B84" w:rsidRDefault="00DF0B84" w:rsidP="00DF0B84">
      <w:pPr>
        <w:pStyle w:val="BlockText"/>
        <w:ind w:left="2520"/>
      </w:pPr>
    </w:p>
    <w:p w:rsidR="00EA1B72" w:rsidRDefault="00EA1B72" w:rsidP="0096439D">
      <w:pPr>
        <w:pStyle w:val="BlockText"/>
        <w:numPr>
          <w:ilvl w:val="1"/>
          <w:numId w:val="32"/>
        </w:numPr>
      </w:pPr>
      <w:r>
        <w:t>This board proposed the repeal of the following rules (if any):</w:t>
      </w:r>
      <w:r w:rsidR="00103CDF">
        <w:t xml:space="preserve"> None.</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103CDF">
        <w:t>None.</w:t>
      </w:r>
    </w:p>
    <w:p w:rsidR="008B06DE" w:rsidRDefault="008B06DE" w:rsidP="008B06DE">
      <w:pPr>
        <w:pStyle w:val="ListParagraph"/>
      </w:pPr>
    </w:p>
    <w:p w:rsidR="006577D7" w:rsidRDefault="008B06DE" w:rsidP="00F56C3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103CDF">
        <w:t>None.</w:t>
      </w:r>
    </w:p>
    <w:p w:rsidR="006577D7" w:rsidRDefault="006577D7" w:rsidP="006577D7">
      <w:pPr>
        <w:pStyle w:val="BlockText"/>
        <w:ind w:left="180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DF0B84" w:rsidRDefault="008B06DE" w:rsidP="00697F28">
      <w:pPr>
        <w:pStyle w:val="BlockText"/>
        <w:numPr>
          <w:ilvl w:val="1"/>
          <w:numId w:val="32"/>
        </w:numPr>
      </w:pPr>
      <w:r>
        <w:t>This board proposed to adopt</w:t>
      </w:r>
      <w:r w:rsidR="00927EF0">
        <w:t xml:space="preserve"> or amend</w:t>
      </w:r>
      <w:r>
        <w:t xml:space="preserve"> the following rules</w:t>
      </w:r>
      <w:r w:rsidR="00927EF0">
        <w:t xml:space="preserve"> (</w:t>
      </w:r>
      <w:r w:rsidR="005F17D4">
        <w:t>i</w:t>
      </w:r>
      <w:r w:rsidR="00927EF0">
        <w:t>f any)</w:t>
      </w:r>
      <w:r>
        <w:t>:</w:t>
      </w:r>
      <w:r w:rsidR="00697F28">
        <w:t xml:space="preserve"> </w:t>
      </w:r>
    </w:p>
    <w:p w:rsidR="00DF0B84" w:rsidRDefault="00DF0B84" w:rsidP="00DF0B84">
      <w:pPr>
        <w:pStyle w:val="BlockText"/>
        <w:ind w:left="1800"/>
      </w:pPr>
    </w:p>
    <w:p w:rsidR="00697F28" w:rsidRDefault="00DF0B84" w:rsidP="00156092">
      <w:pPr>
        <w:pStyle w:val="BlockText"/>
        <w:numPr>
          <w:ilvl w:val="2"/>
          <w:numId w:val="32"/>
        </w:numPr>
      </w:pPr>
      <w:r>
        <w:t>Rule 61G15-22.006</w:t>
      </w:r>
      <w:r w:rsidR="00697F28">
        <w:t>,</w:t>
      </w:r>
      <w:r>
        <w:t xml:space="preserve"> regarding demonstrated compliance, is proposed for amendment to delete unnecessary language and to add new language to update and clarify procedures.</w:t>
      </w:r>
    </w:p>
    <w:p w:rsidR="00DF0B84" w:rsidRDefault="00DF0B84" w:rsidP="00DF0B84">
      <w:pPr>
        <w:pStyle w:val="BlockText"/>
        <w:ind w:left="1800"/>
      </w:pPr>
    </w:p>
    <w:p w:rsidR="00DF0B84" w:rsidRDefault="00DF0B84" w:rsidP="00156092">
      <w:pPr>
        <w:pStyle w:val="BlockText"/>
        <w:numPr>
          <w:ilvl w:val="2"/>
          <w:numId w:val="32"/>
        </w:numPr>
      </w:pPr>
      <w:r>
        <w:t>Rule 61G15-23.003, regarding signing and sealing electronically transmitted plans, specifications, reports and other documents, is proposed for amendment to delete unnecessary language and to add new language to update and clarify procedures</w:t>
      </w:r>
    </w:p>
    <w:p w:rsidR="00DF0B84" w:rsidRDefault="00DF0B84" w:rsidP="00DF0B84">
      <w:pPr>
        <w:pStyle w:val="ListParagraph"/>
      </w:pPr>
    </w:p>
    <w:p w:rsidR="00156092" w:rsidRDefault="00DF0B84" w:rsidP="00156092">
      <w:pPr>
        <w:pStyle w:val="BlockText"/>
        <w:numPr>
          <w:ilvl w:val="2"/>
          <w:numId w:val="32"/>
        </w:numPr>
      </w:pPr>
      <w:r>
        <w:t>Rule 61G15</w:t>
      </w:r>
      <w:r w:rsidR="00156092">
        <w:t>-29.001, regarding definitions, procedures and prohibitions, is proposed for amendment to modify language for certification procedures.</w:t>
      </w:r>
    </w:p>
    <w:p w:rsidR="00DF0B84" w:rsidRDefault="00DF0B84" w:rsidP="00DF0B84">
      <w:pPr>
        <w:pStyle w:val="BlockText"/>
        <w:ind w:left="1800"/>
      </w:pPr>
    </w:p>
    <w:p w:rsidR="00200951" w:rsidRDefault="00200951" w:rsidP="00156092">
      <w:pPr>
        <w:pStyle w:val="BlockText"/>
        <w:numPr>
          <w:ilvl w:val="1"/>
          <w:numId w:val="32"/>
        </w:numPr>
      </w:pPr>
      <w:r>
        <w:t>This board proposed</w:t>
      </w:r>
      <w:r w:rsidR="00156092">
        <w:t xml:space="preserve"> to repeal the following rules (if any): None. </w:t>
      </w:r>
    </w:p>
    <w:p w:rsidR="00156092" w:rsidRDefault="00156092" w:rsidP="00156092">
      <w:pPr>
        <w:pStyle w:val="BlockText"/>
        <w:ind w:left="1800"/>
      </w:pPr>
    </w:p>
    <w:p w:rsidR="008B06DE" w:rsidRDefault="008B06DE" w:rsidP="00E16D83">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520F5E">
        <w:t xml:space="preserve"> </w:t>
      </w:r>
      <w:r w:rsidR="005F17D4">
        <w:t>None.</w:t>
      </w:r>
    </w:p>
    <w:p w:rsidR="00555FBF" w:rsidRDefault="00555FBF" w:rsidP="00555FBF">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697F28">
        <w:t xml:space="preserve"> Oswald Pasquesi, filed on March 27, 2012, regarding Rule 61G15-20.0015, requiring that an application must demonstrate compliance with the current criteria listed in section 471.013, and </w:t>
      </w:r>
      <w:r w:rsidR="00F7297C">
        <w:t xml:space="preserve">completion of an accredited engineering degree program </w:t>
      </w:r>
      <w:r w:rsidR="00697F28">
        <w:t>for licensure by endorsement.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156092">
        <w:t>Rule 61G19-6.012, regarding “provisional certificates” to limited the authority to the jurisdiction for which the applicant is employed at the time.</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5F17D4">
        <w:t xml:space="preserve"> 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156092">
        <w:t>): 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5F17D4">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22A6D">
        <w:t xml:space="preserve"> (now Chapter 61G20</w:t>
      </w:r>
      <w:r w:rsidR="0038047E">
        <w:rPr>
          <w:rStyle w:val="FootnoteReference"/>
        </w:rPr>
        <w:footnoteReference w:id="2"/>
      </w:r>
      <w:r w:rsidR="00922A6D">
        <w:t>)</w:t>
      </w:r>
      <w:r w:rsidR="002E2A6D">
        <w:t>:</w:t>
      </w:r>
      <w:r w:rsidR="009A1012">
        <w:t xml:space="preserve"> </w:t>
      </w:r>
    </w:p>
    <w:p w:rsidR="0096439D" w:rsidRDefault="0096439D" w:rsidP="005F17D4">
      <w:pPr>
        <w:pStyle w:val="BlockText"/>
      </w:pPr>
    </w:p>
    <w:p w:rsidR="005F17D4" w:rsidRDefault="0096439D" w:rsidP="005F17D4">
      <w:pPr>
        <w:pStyle w:val="BlockText"/>
        <w:numPr>
          <w:ilvl w:val="1"/>
          <w:numId w:val="32"/>
        </w:numPr>
      </w:pPr>
      <w:r>
        <w:t>T</w:t>
      </w:r>
      <w:r w:rsidR="00922A6D">
        <w:t>he commission</w:t>
      </w:r>
      <w:r w:rsidR="008B06DE">
        <w:t xml:space="preserve"> has received the following Petitions for Declaratory Statement</w:t>
      </w:r>
      <w:r w:rsidR="00927EF0">
        <w:t xml:space="preserve"> (if any)</w:t>
      </w:r>
      <w:r w:rsidR="008B06DE">
        <w:t>:</w:t>
      </w:r>
      <w:r w:rsidR="005F17D4">
        <w:t xml:space="preserve"> Joe Belcher, AWP Windows and Doors, and Aluminum Association of Florida, regarding replacement fenestration units for renovated buildings, and requesting a code interpretation that if the costs for replacement are less than 30% of the assessed value of the building that window replacements would not have to comply with the new Building Code, Energy Code requirements (which became effective with the 2010 edition of the Building Code on March 15, 0212. The first hear</w:t>
      </w:r>
      <w:r w:rsidR="00156092">
        <w:t>ing on this petition was held in April</w:t>
      </w:r>
      <w:r w:rsidR="005F17D4">
        <w:t>, 2012</w:t>
      </w:r>
      <w:r w:rsidR="00156092">
        <w:t>, and the second hearing will be held on June 12, 2012</w:t>
      </w:r>
      <w:r w:rsidR="005F17D4">
        <w:t>.</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D83830">
        <w:t xml:space="preserve"> </w:t>
      </w:r>
      <w:r w:rsidR="005F17D4">
        <w:t>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227443" w:rsidRPr="00922A6D" w:rsidRDefault="0098369B" w:rsidP="006577D7">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922A6D">
        <w:rPr>
          <w:b/>
        </w:rPr>
        <w:t xml:space="preserve">effective </w:t>
      </w:r>
      <w:r w:rsidR="00B04E9C">
        <w:rPr>
          <w:b/>
        </w:rPr>
        <w:t>April 27, 2012, mad</w:t>
      </w:r>
      <w:r w:rsidR="006577D7" w:rsidRPr="00922A6D">
        <w:rPr>
          <w:b/>
        </w:rPr>
        <w:t>e</w:t>
      </w:r>
      <w:r w:rsidR="00B04E9C">
        <w:rPr>
          <w:b/>
        </w:rPr>
        <w:t xml:space="preserve"> the following changes</w:t>
      </w:r>
      <w:r w:rsidR="006577D7" w:rsidRPr="00922A6D">
        <w:rPr>
          <w:b/>
        </w:rPr>
        <w:t>:</w:t>
      </w:r>
    </w:p>
    <w:p w:rsidR="006577D7" w:rsidRDefault="006577D7" w:rsidP="006577D7">
      <w:pPr>
        <w:pStyle w:val="ListParagraph"/>
      </w:pPr>
    </w:p>
    <w:p w:rsidR="006577D7" w:rsidRDefault="006577D7" w:rsidP="006577D7">
      <w:pPr>
        <w:pStyle w:val="BlockText"/>
        <w:numPr>
          <w:ilvl w:val="1"/>
          <w:numId w:val="30"/>
        </w:numPr>
      </w:pPr>
      <w:r>
        <w:t xml:space="preserve">The </w:t>
      </w:r>
      <w:r w:rsidR="00CF37B7">
        <w:t>Department</w:t>
      </w:r>
      <w:r>
        <w:t xml:space="preserve"> of Health’s authority for plan review and approval of swi</w:t>
      </w:r>
      <w:r w:rsidR="00156092">
        <w:t>mming pools and bathing pools was</w:t>
      </w:r>
      <w:r>
        <w:t xml:space="preserve"> repealed and given to local government in accordance with the Florida Building Code.</w:t>
      </w:r>
    </w:p>
    <w:p w:rsidR="006577D7" w:rsidRDefault="006577D7" w:rsidP="006577D7">
      <w:pPr>
        <w:pStyle w:val="BlockText"/>
        <w:ind w:left="1440"/>
      </w:pPr>
    </w:p>
    <w:p w:rsidR="006577D7" w:rsidRDefault="006577D7" w:rsidP="006577D7">
      <w:pPr>
        <w:pStyle w:val="BlockText"/>
        <w:numPr>
          <w:ilvl w:val="1"/>
          <w:numId w:val="30"/>
        </w:num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577D7" w:rsidRPr="00BB3CE8" w:rsidRDefault="006577D7" w:rsidP="00CF37B7">
      <w:pPr>
        <w:pStyle w:val="BlockText"/>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Pr="005F17D4"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sidR="00156092">
        <w:t xml:space="preserve"> Nothing to report.</w:t>
      </w:r>
    </w:p>
    <w:p w:rsidR="00156092" w:rsidRDefault="00156092" w:rsidP="002B78B0">
      <w:pPr>
        <w:pStyle w:val="BlockText"/>
      </w:pPr>
    </w:p>
    <w:p w:rsidR="00156092" w:rsidRDefault="00156092" w:rsidP="002B78B0">
      <w:pPr>
        <w:pStyle w:val="BlockText"/>
      </w:pPr>
      <w:r>
        <w:t>Respectfully submitted,</w:t>
      </w:r>
    </w:p>
    <w:p w:rsidR="00156092" w:rsidRDefault="00156092" w:rsidP="002B78B0">
      <w:pPr>
        <w:pStyle w:val="BlockText"/>
      </w:pPr>
    </w:p>
    <w:p w:rsidR="00156092" w:rsidRDefault="00156092" w:rsidP="002B78B0">
      <w:pPr>
        <w:pStyle w:val="BlockText"/>
      </w:pPr>
      <w:r>
        <w:t>June 8, 1012.</w:t>
      </w:r>
    </w:p>
    <w:p w:rsidR="009C6CE8" w:rsidRDefault="009C6CE8" w:rsidP="00922A6D">
      <w:pPr>
        <w:pStyle w:val="BlockText"/>
        <w:ind w:left="360"/>
      </w:pPr>
    </w:p>
    <w:sectPr w:rsidR="009C6CE8" w:rsidSect="009A10B6">
      <w:footerReference w:type="default" r:id="rId7"/>
      <w:footerReference w:type="first" r:id="rId8"/>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6DD" w:rsidRDefault="008116DD" w:rsidP="009A2CBA">
      <w:r>
        <w:separator/>
      </w:r>
    </w:p>
  </w:endnote>
  <w:endnote w:type="continuationSeparator" w:id="0">
    <w:p w:rsidR="008116DD" w:rsidRDefault="008116DD"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974E6F">
        <w:rPr>
          <w:noProof/>
        </w:rPr>
        <w:t>5</w:t>
      </w:r>
    </w:fldSimple>
  </w:p>
  <w:p w:rsidR="005A74C3" w:rsidRPr="00911FE4" w:rsidRDefault="00E67142" w:rsidP="000421B5">
    <w:pPr>
      <w:pStyle w:val="Footer"/>
      <w:rPr>
        <w:rStyle w:val="DocID"/>
      </w:rPr>
    </w:pPr>
    <w:r w:rsidRPr="00E67142">
      <w:rPr>
        <w:rStyle w:val="DocID"/>
      </w:rPr>
      <w:t>#9764699_v1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352F34"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974E6F">
      <w:rPr>
        <w:noProof/>
        <w:sz w:val="20"/>
      </w:rPr>
      <w:instrText>3</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6DD" w:rsidRDefault="008116DD" w:rsidP="009A2CBA">
      <w:r>
        <w:separator/>
      </w:r>
    </w:p>
  </w:footnote>
  <w:footnote w:type="continuationSeparator" w:id="0">
    <w:p w:rsidR="008116DD" w:rsidRDefault="008116DD" w:rsidP="009A2CBA">
      <w:r>
        <w:continuationSeparator/>
      </w:r>
    </w:p>
  </w:footnote>
  <w:footnote w:id="1">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2">
    <w:p w:rsidR="005A74C3" w:rsidRPr="0038047E" w:rsidRDefault="005A74C3" w:rsidP="0038047E">
      <w:pPr>
        <w:pStyle w:val="BlockText"/>
      </w:pPr>
      <w:r>
        <w:rPr>
          <w:rStyle w:val="FootnoteReference"/>
        </w:rPr>
        <w:footnoteRef/>
      </w:r>
      <w:r>
        <w:t xml:space="preserve"> </w:t>
      </w:r>
      <w:r w:rsidRPr="0038047E">
        <w:t>As part of the TRANSFER of this commission from the now-defunct Department of Community Affairs to the Department of Business and Professional Regulation, all rules from Chapter 9N have been TRANSFERRED to Chapter 61G20, FAC.</w:t>
      </w:r>
    </w:p>
    <w:p w:rsidR="005A74C3" w:rsidRDefault="005A74C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D8155F"/>
    <w:rsid w:val="00011776"/>
    <w:rsid w:val="00016A29"/>
    <w:rsid w:val="00027FC3"/>
    <w:rsid w:val="000302BC"/>
    <w:rsid w:val="000341ED"/>
    <w:rsid w:val="000421B5"/>
    <w:rsid w:val="0005012E"/>
    <w:rsid w:val="000509E7"/>
    <w:rsid w:val="00054D0D"/>
    <w:rsid w:val="0005515D"/>
    <w:rsid w:val="00055700"/>
    <w:rsid w:val="00084298"/>
    <w:rsid w:val="000A4BA4"/>
    <w:rsid w:val="000B1DDB"/>
    <w:rsid w:val="000B76DD"/>
    <w:rsid w:val="000D2555"/>
    <w:rsid w:val="000F6911"/>
    <w:rsid w:val="00100E22"/>
    <w:rsid w:val="00103CDF"/>
    <w:rsid w:val="00107362"/>
    <w:rsid w:val="00110D3B"/>
    <w:rsid w:val="001114F7"/>
    <w:rsid w:val="001148B5"/>
    <w:rsid w:val="001156AF"/>
    <w:rsid w:val="00117544"/>
    <w:rsid w:val="00126ABD"/>
    <w:rsid w:val="00146E4E"/>
    <w:rsid w:val="001476D7"/>
    <w:rsid w:val="00151720"/>
    <w:rsid w:val="00151F43"/>
    <w:rsid w:val="00156092"/>
    <w:rsid w:val="001572A8"/>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857BE"/>
    <w:rsid w:val="00286558"/>
    <w:rsid w:val="00290B6F"/>
    <w:rsid w:val="00294F80"/>
    <w:rsid w:val="002A4DD8"/>
    <w:rsid w:val="002B0DFC"/>
    <w:rsid w:val="002B3E98"/>
    <w:rsid w:val="002B78B0"/>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2F34"/>
    <w:rsid w:val="003563EF"/>
    <w:rsid w:val="003762B9"/>
    <w:rsid w:val="0038047E"/>
    <w:rsid w:val="00383EFB"/>
    <w:rsid w:val="00385904"/>
    <w:rsid w:val="003A1E91"/>
    <w:rsid w:val="003A33A5"/>
    <w:rsid w:val="003A4FB0"/>
    <w:rsid w:val="003B5B30"/>
    <w:rsid w:val="003C09F0"/>
    <w:rsid w:val="003C50CC"/>
    <w:rsid w:val="003D34DF"/>
    <w:rsid w:val="003E13A7"/>
    <w:rsid w:val="00416C25"/>
    <w:rsid w:val="004200FB"/>
    <w:rsid w:val="00425FE8"/>
    <w:rsid w:val="004406AC"/>
    <w:rsid w:val="004634BE"/>
    <w:rsid w:val="00465432"/>
    <w:rsid w:val="0047003F"/>
    <w:rsid w:val="00484B9C"/>
    <w:rsid w:val="004A0671"/>
    <w:rsid w:val="004A451E"/>
    <w:rsid w:val="004A5613"/>
    <w:rsid w:val="004A582F"/>
    <w:rsid w:val="004A6E9B"/>
    <w:rsid w:val="004C458B"/>
    <w:rsid w:val="004C63D8"/>
    <w:rsid w:val="004E35D0"/>
    <w:rsid w:val="004E61C2"/>
    <w:rsid w:val="004F030C"/>
    <w:rsid w:val="004F3D87"/>
    <w:rsid w:val="00500503"/>
    <w:rsid w:val="00504537"/>
    <w:rsid w:val="00512724"/>
    <w:rsid w:val="00520F5E"/>
    <w:rsid w:val="005237C4"/>
    <w:rsid w:val="00535353"/>
    <w:rsid w:val="005463F4"/>
    <w:rsid w:val="00555FBF"/>
    <w:rsid w:val="005A61CC"/>
    <w:rsid w:val="005A74C3"/>
    <w:rsid w:val="005B212C"/>
    <w:rsid w:val="005B2CCD"/>
    <w:rsid w:val="005C08FA"/>
    <w:rsid w:val="005C40F9"/>
    <w:rsid w:val="005C5CFC"/>
    <w:rsid w:val="005D217B"/>
    <w:rsid w:val="005F17D4"/>
    <w:rsid w:val="005F1FB3"/>
    <w:rsid w:val="005F4A79"/>
    <w:rsid w:val="00600D46"/>
    <w:rsid w:val="00614279"/>
    <w:rsid w:val="00620CC5"/>
    <w:rsid w:val="0063517A"/>
    <w:rsid w:val="0064458E"/>
    <w:rsid w:val="00644BDC"/>
    <w:rsid w:val="0064574F"/>
    <w:rsid w:val="006465C5"/>
    <w:rsid w:val="00654846"/>
    <w:rsid w:val="006577D7"/>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74A2B"/>
    <w:rsid w:val="007755F6"/>
    <w:rsid w:val="00780CCE"/>
    <w:rsid w:val="007862BD"/>
    <w:rsid w:val="00793514"/>
    <w:rsid w:val="007977D0"/>
    <w:rsid w:val="007A040E"/>
    <w:rsid w:val="007A2C34"/>
    <w:rsid w:val="007A7335"/>
    <w:rsid w:val="007B455D"/>
    <w:rsid w:val="007E128E"/>
    <w:rsid w:val="007E4176"/>
    <w:rsid w:val="007F2F12"/>
    <w:rsid w:val="00801B02"/>
    <w:rsid w:val="008116DD"/>
    <w:rsid w:val="00812FF0"/>
    <w:rsid w:val="00820D75"/>
    <w:rsid w:val="00821688"/>
    <w:rsid w:val="008219AB"/>
    <w:rsid w:val="0082467E"/>
    <w:rsid w:val="008271F6"/>
    <w:rsid w:val="00832281"/>
    <w:rsid w:val="00832A42"/>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8D5528"/>
    <w:rsid w:val="0090334E"/>
    <w:rsid w:val="009037AF"/>
    <w:rsid w:val="00912B18"/>
    <w:rsid w:val="00922A6D"/>
    <w:rsid w:val="00927A0D"/>
    <w:rsid w:val="00927EF0"/>
    <w:rsid w:val="00933C83"/>
    <w:rsid w:val="00936542"/>
    <w:rsid w:val="00940447"/>
    <w:rsid w:val="00944330"/>
    <w:rsid w:val="009459C3"/>
    <w:rsid w:val="0095190E"/>
    <w:rsid w:val="00952ED0"/>
    <w:rsid w:val="0096439D"/>
    <w:rsid w:val="009679F7"/>
    <w:rsid w:val="00972224"/>
    <w:rsid w:val="00974E6F"/>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24F93"/>
    <w:rsid w:val="00A413D5"/>
    <w:rsid w:val="00A47BAD"/>
    <w:rsid w:val="00A47D5F"/>
    <w:rsid w:val="00A52BEC"/>
    <w:rsid w:val="00A862A4"/>
    <w:rsid w:val="00A92BA2"/>
    <w:rsid w:val="00A973D9"/>
    <w:rsid w:val="00AA1C3B"/>
    <w:rsid w:val="00AA2435"/>
    <w:rsid w:val="00AA49B9"/>
    <w:rsid w:val="00AB6124"/>
    <w:rsid w:val="00AB7A77"/>
    <w:rsid w:val="00AC560D"/>
    <w:rsid w:val="00AD19E4"/>
    <w:rsid w:val="00AD3673"/>
    <w:rsid w:val="00AD4A48"/>
    <w:rsid w:val="00AE40E2"/>
    <w:rsid w:val="00AE4928"/>
    <w:rsid w:val="00AF4CC5"/>
    <w:rsid w:val="00B04E9C"/>
    <w:rsid w:val="00B11BE8"/>
    <w:rsid w:val="00B1354A"/>
    <w:rsid w:val="00B43413"/>
    <w:rsid w:val="00B51F07"/>
    <w:rsid w:val="00B55AA9"/>
    <w:rsid w:val="00B605B3"/>
    <w:rsid w:val="00B6409D"/>
    <w:rsid w:val="00B65A78"/>
    <w:rsid w:val="00B7209C"/>
    <w:rsid w:val="00B75D21"/>
    <w:rsid w:val="00B82F44"/>
    <w:rsid w:val="00B854DA"/>
    <w:rsid w:val="00B94BF6"/>
    <w:rsid w:val="00BB3CE8"/>
    <w:rsid w:val="00BB43FD"/>
    <w:rsid w:val="00BC3ED9"/>
    <w:rsid w:val="00BD0579"/>
    <w:rsid w:val="00BD1D69"/>
    <w:rsid w:val="00BE7E71"/>
    <w:rsid w:val="00BF5744"/>
    <w:rsid w:val="00C0615F"/>
    <w:rsid w:val="00C10FB4"/>
    <w:rsid w:val="00C15A97"/>
    <w:rsid w:val="00C16757"/>
    <w:rsid w:val="00C17A11"/>
    <w:rsid w:val="00C41104"/>
    <w:rsid w:val="00C42CAD"/>
    <w:rsid w:val="00C46B9E"/>
    <w:rsid w:val="00C47486"/>
    <w:rsid w:val="00C527C3"/>
    <w:rsid w:val="00C552DE"/>
    <w:rsid w:val="00C613B0"/>
    <w:rsid w:val="00C666BD"/>
    <w:rsid w:val="00C71560"/>
    <w:rsid w:val="00C80F74"/>
    <w:rsid w:val="00C86210"/>
    <w:rsid w:val="00C8621F"/>
    <w:rsid w:val="00CA1872"/>
    <w:rsid w:val="00CA1D5A"/>
    <w:rsid w:val="00CA5910"/>
    <w:rsid w:val="00CA6A88"/>
    <w:rsid w:val="00CB0D76"/>
    <w:rsid w:val="00CB18D5"/>
    <w:rsid w:val="00CB393B"/>
    <w:rsid w:val="00CD02EB"/>
    <w:rsid w:val="00CF2384"/>
    <w:rsid w:val="00CF37B7"/>
    <w:rsid w:val="00CF7C33"/>
    <w:rsid w:val="00D102CE"/>
    <w:rsid w:val="00D17EF8"/>
    <w:rsid w:val="00D31E05"/>
    <w:rsid w:val="00D42313"/>
    <w:rsid w:val="00D45220"/>
    <w:rsid w:val="00D51EF8"/>
    <w:rsid w:val="00D532DF"/>
    <w:rsid w:val="00D5683A"/>
    <w:rsid w:val="00D6075F"/>
    <w:rsid w:val="00D64A8A"/>
    <w:rsid w:val="00D74A8F"/>
    <w:rsid w:val="00D8155F"/>
    <w:rsid w:val="00D83830"/>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DF60A6"/>
    <w:rsid w:val="00E07E81"/>
    <w:rsid w:val="00E10E84"/>
    <w:rsid w:val="00E16D83"/>
    <w:rsid w:val="00E30C2C"/>
    <w:rsid w:val="00E311DC"/>
    <w:rsid w:val="00E31752"/>
    <w:rsid w:val="00E3534A"/>
    <w:rsid w:val="00E4444A"/>
    <w:rsid w:val="00E66470"/>
    <w:rsid w:val="00E67142"/>
    <w:rsid w:val="00E95DE1"/>
    <w:rsid w:val="00E97E26"/>
    <w:rsid w:val="00EA1B72"/>
    <w:rsid w:val="00EA3A1A"/>
    <w:rsid w:val="00EA49A8"/>
    <w:rsid w:val="00EB0314"/>
    <w:rsid w:val="00EB2DD7"/>
    <w:rsid w:val="00EB56F6"/>
    <w:rsid w:val="00EC0471"/>
    <w:rsid w:val="00EC3C0E"/>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2012-06-10T15:26:00Z</cp:lastPrinted>
  <dcterms:created xsi:type="dcterms:W3CDTF">2012-06-11T13:01:00Z</dcterms:created>
  <dcterms:modified xsi:type="dcterms:W3CDTF">2012-06-11T13:01:00Z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