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w:t>
      </w:r>
      <w:r w:rsidR="00555FBF">
        <w:t>s</w:t>
      </w:r>
      <w:r>
        <w:t xml:space="preserve"> of</w:t>
      </w:r>
      <w:r w:rsidR="00555FBF">
        <w:t>: March and April</w:t>
      </w:r>
      <w:r w:rsidR="006B60DD">
        <w:t xml:space="preserve"> </w:t>
      </w:r>
      <w:r w:rsidR="00944330">
        <w:t>2012</w:t>
      </w:r>
    </w:p>
    <w:p w:rsidR="00D9771C" w:rsidRDefault="00D9771C" w:rsidP="00F9535D">
      <w:pPr>
        <w:pStyle w:val="BlockText"/>
      </w:pPr>
    </w:p>
    <w:p w:rsidR="00262A25" w:rsidRDefault="00262A25" w:rsidP="00D9771C">
      <w:pPr>
        <w:pStyle w:val="BlockText"/>
        <w:rPr>
          <w:b/>
          <w:u w:val="single"/>
        </w:rPr>
      </w:pPr>
      <w:r>
        <w:rPr>
          <w:b/>
          <w:u w:val="single"/>
        </w:rPr>
        <w:t>Trial Court Decisions:</w:t>
      </w:r>
    </w:p>
    <w:p w:rsidR="00262A25" w:rsidRDefault="00262A25" w:rsidP="00D9771C">
      <w:pPr>
        <w:pStyle w:val="BlockText"/>
        <w:rPr>
          <w:b/>
          <w:u w:val="single"/>
        </w:rPr>
      </w:pPr>
    </w:p>
    <w:p w:rsidR="00DF255F" w:rsidRPr="00DF255F" w:rsidRDefault="00DF255F" w:rsidP="00DF255F">
      <w:pPr>
        <w:pStyle w:val="BlockText"/>
        <w:ind w:firstLine="720"/>
      </w:pPr>
      <w:r w:rsidRPr="0064458E">
        <w:rPr>
          <w:i/>
          <w:u w:val="single"/>
        </w:rPr>
        <w:t>Michael Scantland v. Jeffry Knight, Inc</w:t>
      </w:r>
      <w:r>
        <w:t>., Case No. 8:09-CV-1985-T-17TBM, U. S. District Court, Southern District of Florida, Tampa Division, Order entered on March 29, 2012. Partial Summary Judgment was entered in favor of defendant cable installation company for customers of Bright House Networks in a collective action under Fair Labor Standards Act brought by individual cable technicians claiming to be “employees,” rather than “independent contractors,” based on court’s analysis of installer contracts and an “economic realities” test of the parties’ relationship, including various factors dealing with the nature and degree of “control” over which the work was performed, the opportunity for profit and loss, investment in materials and the presence of special skills.</w:t>
      </w:r>
    </w:p>
    <w:p w:rsidR="00DF255F" w:rsidRDefault="00DF255F" w:rsidP="00D9771C">
      <w:pPr>
        <w:pStyle w:val="BlockText"/>
        <w:rPr>
          <w:b/>
          <w:u w:val="single"/>
        </w:rPr>
      </w:pPr>
    </w:p>
    <w:p w:rsidR="00262A25" w:rsidRDefault="00262A25" w:rsidP="00262A25">
      <w:pPr>
        <w:pStyle w:val="BlockText"/>
        <w:ind w:firstLine="720"/>
      </w:pPr>
      <w:r w:rsidRPr="00D74A8F">
        <w:rPr>
          <w:i/>
          <w:u w:val="single"/>
        </w:rPr>
        <w:t>Great American v. JWR Construction Services and Gulf Reflections Condominium Association</w:t>
      </w:r>
      <w:r>
        <w:t>, Case No. 10-61423-CV-Huck/Branstra, U. S. District Court, Southern District of Florida, Order entered on April 9, 2011. Summary Judgment granted in favor of contractor and owner and against surety on the sole issue of the duty to defend an underlying suit in Lee County Circuit Court (Case No. 10-CA-000371) for damages caused by the installation of Chinese drywall. Applying New York law as required by the policy, the exclusion for “Faulty work/own work” was rejected because the drywall installation itself was not alleged to be defective, and the exclusion for “Products Liability” was also rejected because the construction was a “service” and not a “product,” and because the contractor did not “handle” the drywall. Surety was also ordered to reimburse for defense costs incurred to date, but further proceedings in this case was stayed pending outcome of the underlying suit.</w:t>
      </w:r>
    </w:p>
    <w:p w:rsidR="00262A25" w:rsidRPr="00262A25" w:rsidRDefault="00262A25" w:rsidP="00D9771C">
      <w:pPr>
        <w:pStyle w:val="BlockText"/>
      </w:pPr>
    </w:p>
    <w:p w:rsidR="00D9771C" w:rsidRDefault="00D9771C" w:rsidP="00D9771C">
      <w:pPr>
        <w:pStyle w:val="BlockText"/>
        <w:rPr>
          <w:b/>
          <w:u w:val="single"/>
        </w:rPr>
      </w:pPr>
      <w:r w:rsidRPr="00D9771C">
        <w:rPr>
          <w:b/>
          <w:u w:val="single"/>
        </w:rPr>
        <w:t>Appellate Decisions:</w:t>
      </w:r>
    </w:p>
    <w:p w:rsidR="00AA1C3B" w:rsidRDefault="00AA1C3B" w:rsidP="00DF255F">
      <w:pPr>
        <w:pStyle w:val="BlockText"/>
      </w:pPr>
    </w:p>
    <w:p w:rsidR="00AA1C3B" w:rsidRDefault="00AA1C3B" w:rsidP="007E4176">
      <w:pPr>
        <w:pStyle w:val="BlockText"/>
        <w:ind w:firstLine="720"/>
      </w:pPr>
      <w:r w:rsidRPr="00AA1C3B">
        <w:rPr>
          <w:i/>
          <w:u w:val="single"/>
        </w:rPr>
        <w:t xml:space="preserve">Ricardo O. Wolfe, II and H. Michelle Wolfe v. Culpepper Constructors, Inc., </w:t>
      </w:r>
      <w:r>
        <w:t xml:space="preserve">37 Fla. L. Weekly D505a, Case No. 2D10-3670, filed February 29, 2012. Contractor sought foreclosure of construction lien for $91, 261.65, which was reduced to an award of only $9,074.06 after offsets for owners’ counterclaim for defective workmanship, after contractor had rejected a </w:t>
      </w:r>
      <w:r w:rsidR="00F16CBD">
        <w:t xml:space="preserve">joint </w:t>
      </w:r>
      <w:r>
        <w:t xml:space="preserve">settlement offer of $25,000 made by owners pursuant to section 768.79, Florida Statutes (2006), and Fla. R. Civ. P. 1.442(c)(3). </w:t>
      </w:r>
      <w:r w:rsidR="00F16CBD">
        <w:t>After citing concerns and observations by other courts that this statute and rule have not seemed to have their desired affect of reducing litigation, the court held that the trial court’s denial of fees to the owners was error, and reversed and remanded on this issue.</w:t>
      </w:r>
    </w:p>
    <w:p w:rsidR="00F16CBD" w:rsidRDefault="00F16CBD" w:rsidP="007E4176">
      <w:pPr>
        <w:pStyle w:val="BlockText"/>
        <w:ind w:firstLine="720"/>
      </w:pPr>
    </w:p>
    <w:p w:rsidR="00DF255F" w:rsidRDefault="00DF255F" w:rsidP="00DF255F">
      <w:pPr>
        <w:pStyle w:val="BlockText"/>
        <w:ind w:firstLine="720"/>
      </w:pPr>
      <w:r>
        <w:rPr>
          <w:i/>
          <w:u w:val="single"/>
        </w:rPr>
        <w:t>The Cool Guys, LLC v. Jomar Properties and Accredited Surety</w:t>
      </w:r>
      <w:r>
        <w:t xml:space="preserve">, 37 Fla. L. Weekly D574a, Case No. 4D10-4206, filed March 7, 2012. Affirmed the trial court’s summary judgment in favor of owner and surety on a transfer bond that was posted during the pendency of the lien foreclosure, and held that s. 713.24(4), as amended in 2005, precluded the subcontractor from bringing a claim on the transfer bond more than two (2) years after the lien was transferred to bond by requiring that such a claim must be filed within one (1) year after the transfer bond was posted. Note: This opinion </w:t>
      </w:r>
      <w:r>
        <w:lastRenderedPageBreak/>
        <w:t xml:space="preserve">is contrary to </w:t>
      </w:r>
      <w:r w:rsidRPr="007F2F12">
        <w:rPr>
          <w:i/>
          <w:u w:val="single"/>
        </w:rPr>
        <w:t>American Fire v. Davis Water</w:t>
      </w:r>
      <w:r>
        <w:t>, 358 So. 2d 225 (Fla. 4</w:t>
      </w:r>
      <w:r w:rsidRPr="007F2F12">
        <w:rPr>
          <w:vertAlign w:val="superscript"/>
        </w:rPr>
        <w:t>th</w:t>
      </w:r>
      <w:r>
        <w:t xml:space="preserve"> DCA 1978), aff’d, 377 So. 2d 164 (Fla. 1979), but that case was decided prior to the statutory amendment.</w:t>
      </w:r>
    </w:p>
    <w:p w:rsidR="00DF255F" w:rsidRDefault="00DF255F" w:rsidP="00DF255F">
      <w:pPr>
        <w:pStyle w:val="BlockText"/>
        <w:ind w:firstLine="720"/>
      </w:pPr>
    </w:p>
    <w:p w:rsidR="00DF255F" w:rsidRDefault="00DF255F" w:rsidP="00DF255F">
      <w:pPr>
        <w:pStyle w:val="BlockText"/>
        <w:ind w:firstLine="720"/>
      </w:pPr>
      <w:r w:rsidRPr="00620CC5">
        <w:rPr>
          <w:i/>
          <w:u w:val="single"/>
        </w:rPr>
        <w:t>Willie Brown v. Kim Nagelhout</w:t>
      </w:r>
      <w:r>
        <w:t xml:space="preserve">, 37 Fla. L. Weekly S225a, Case No. SC10-868, filed March 15, 2012. This was a personal injury suit in which the Florida Supreme Court reversed 4th DCA’s application of the judicially-created “joint residency rule,” which allows venue in any county of residence for more than one defendant resides in those cases where all defendants do not reside in a common county, and receded from </w:t>
      </w:r>
      <w:r w:rsidRPr="00620CC5">
        <w:rPr>
          <w:i/>
          <w:u w:val="single"/>
        </w:rPr>
        <w:t>Enfinger v. Baxley</w:t>
      </w:r>
      <w:r>
        <w:t>, 96 So. 2d 538 (Fla. 1957), in favor of section 47.021, Florida Statutes, which allows the plaintiff to chose venue in such cases.</w:t>
      </w:r>
    </w:p>
    <w:p w:rsidR="00DF255F" w:rsidRDefault="00DF255F" w:rsidP="007E4176">
      <w:pPr>
        <w:pStyle w:val="BlockText"/>
        <w:ind w:firstLine="720"/>
      </w:pPr>
    </w:p>
    <w:p w:rsidR="00620CC5" w:rsidRDefault="00DF255F" w:rsidP="007E4176">
      <w:pPr>
        <w:pStyle w:val="BlockText"/>
        <w:ind w:firstLine="720"/>
      </w:pPr>
      <w:r w:rsidRPr="00DF255F">
        <w:rPr>
          <w:i/>
          <w:u w:val="single"/>
        </w:rPr>
        <w:t>Talel Corporation v. Shimonovitch</w:t>
      </w:r>
      <w:r>
        <w:t>, 37 Fla. L. Weekly D790a, Case No. 4D10-3886, filed April 4, 2012. Arbitration award was vacated pursuant to section 682.13(1)(d), Florida Statutes (2008), due to arbitrator’s failure to hold a hearing on a determination of the amount of unliquidated damages, after thought defendants had defaulted for violating multiple Arbitration Orders.</w:t>
      </w:r>
    </w:p>
    <w:p w:rsidR="00DF255F" w:rsidRDefault="00DF255F" w:rsidP="007E4176">
      <w:pPr>
        <w:pStyle w:val="BlockText"/>
        <w:ind w:firstLine="720"/>
      </w:pPr>
    </w:p>
    <w:p w:rsidR="005A74C3" w:rsidRDefault="00DF255F" w:rsidP="005A74C3">
      <w:pPr>
        <w:pStyle w:val="BlockText"/>
        <w:ind w:firstLine="720"/>
      </w:pPr>
      <w:r w:rsidRPr="00DF255F">
        <w:rPr>
          <w:i/>
          <w:u w:val="single"/>
        </w:rPr>
        <w:t>Michael Mullne v. Sea-Tech Construction, Inc.,</w:t>
      </w:r>
      <w:r>
        <w:t xml:space="preserve"> 37 Fla. L. Weekly D925b, Case No. 4D10-4889, filed April 18, 2012. Default judgment against property owner was set aside as void for lack of jurisdiction where wife alone signed contract for seawall on property jointly owned with husband, and order granting fees to contractor as prevailing party, was reverse and remanded.</w:t>
      </w:r>
      <w:r w:rsidR="005A74C3">
        <w:t xml:space="preserve"> The contractor’s initial complaint against both spouses included a count for lien foreclosure and a count for breach of contract; however, the default judgment did not mention the lien foreclosure and was entered against both spouses even though husband had failed to sign the contract. The court noted that section 713.12, Florida Statutes (2009) allows a lien against property jointly owned by husband and wife, but found that no personal liability was imposed on the husband as a non-party to the contract. </w:t>
      </w:r>
      <w:r w:rsidR="005A74C3" w:rsidRPr="005A74C3">
        <w:rPr>
          <w:u w:val="single"/>
        </w:rPr>
        <w:t>Practice Tip:</w:t>
      </w:r>
      <w:r w:rsidR="005A74C3">
        <w:t xml:space="preserve"> The default judgment should have distinguished between the wife’s sole liability under the construction contact she signed, and the enforceability of the lien against the jointly owned property.</w:t>
      </w:r>
    </w:p>
    <w:p w:rsidR="005A74C3" w:rsidRDefault="005A74C3" w:rsidP="005A74C3">
      <w:pPr>
        <w:pStyle w:val="BlockText"/>
      </w:pPr>
    </w:p>
    <w:p w:rsidR="005A74C3" w:rsidRDefault="005A74C3" w:rsidP="005A74C3">
      <w:pPr>
        <w:pStyle w:val="BlockText"/>
      </w:pPr>
      <w:r>
        <w:tab/>
      </w:r>
      <w:r w:rsidRPr="005A74C3">
        <w:rPr>
          <w:i/>
          <w:u w:val="single"/>
        </w:rPr>
        <w:t>Tahereh Khodam v. Escondido Homeowner’s Association</w:t>
      </w:r>
      <w:r>
        <w:t xml:space="preserve">, </w:t>
      </w:r>
      <w:r w:rsidR="00ED39C3">
        <w:t xml:space="preserve">37 Fla. L. Weekly, </w:t>
      </w:r>
      <w:r>
        <w:t>Case Nos. 4D10-4851 and 11-708, filed on April 18, 2012. Trial court’s finding that neither party was “prevailing party” for purposes of fee award based on jury’s finding of breach of contract but with no damages, was reversed and remanded to determine fees and costs pursuant to section 57.041, Fl</w:t>
      </w:r>
      <w:r w:rsidR="00FE3AE2">
        <w:t>orida Statutes, due to prevailing “on the significant issues” test.</w:t>
      </w:r>
    </w:p>
    <w:p w:rsidR="00ED39C3" w:rsidRDefault="00ED39C3" w:rsidP="005A74C3">
      <w:pPr>
        <w:pStyle w:val="BlockText"/>
      </w:pPr>
    </w:p>
    <w:p w:rsidR="00ED39C3" w:rsidRDefault="00ED39C3" w:rsidP="005A74C3">
      <w:pPr>
        <w:pStyle w:val="BlockText"/>
      </w:pPr>
      <w:r>
        <w:tab/>
      </w:r>
      <w:r w:rsidRPr="00ED39C3">
        <w:rPr>
          <w:i/>
          <w:u w:val="single"/>
        </w:rPr>
        <w:t>Rita Pena and Reinaldo Pena v. Citizens Property Insurance Co</w:t>
      </w:r>
      <w:r>
        <w:t>., 37 Fla. L. Weekly D946a, Case No. 2D10-2397, filed on April 25, 2012. Trial court’s dismissal of homeowners’ claim against insurer for sinkhole damages with prejudice due to fraudulent affidavits regarding compliance with the condition precedent that a contractor be hired prior to suit to perform repairs, was reversed and remanded for entry of a dismissal with leave to amend, or alternatively for abatement until a contractor has been hired for repairs, but on condition that the insurer could recover fees and costs</w:t>
      </w:r>
      <w:r w:rsidR="004634BE">
        <w:t xml:space="preserve"> as a sanction award for the homeowners’ fraud.</w:t>
      </w:r>
    </w:p>
    <w:p w:rsidR="004634BE" w:rsidRDefault="004634BE" w:rsidP="005A74C3">
      <w:pPr>
        <w:pStyle w:val="BlockText"/>
      </w:pPr>
    </w:p>
    <w:p w:rsidR="004634BE" w:rsidRDefault="004634BE" w:rsidP="005A74C3">
      <w:pPr>
        <w:pStyle w:val="BlockText"/>
      </w:pPr>
      <w:r>
        <w:tab/>
      </w:r>
      <w:r w:rsidRPr="004634BE">
        <w:rPr>
          <w:i/>
          <w:u w:val="single"/>
        </w:rPr>
        <w:t>South Florida Coastal Electric v. Treasures On The Bay II Condo Association</w:t>
      </w:r>
      <w:r>
        <w:t>, 37 Fla. L. Weekly, Case No. 3D10-2329, filed on April 25, 2012.  Developer contracted plaintiff for electrical work on common areas in condominium building during the period developer still controlled the association, but while the work was completed and billed the contractor remained unpaid. A summary judgment against the association was reversed and the case remanded to determine the issue of whether a contract existed between the contractor and the association.</w:t>
      </w:r>
    </w:p>
    <w:p w:rsidR="004634BE" w:rsidRDefault="004634BE" w:rsidP="005A74C3">
      <w:pPr>
        <w:pStyle w:val="BlockText"/>
      </w:pPr>
    </w:p>
    <w:p w:rsidR="004634BE" w:rsidRDefault="004634BE" w:rsidP="005A74C3">
      <w:pPr>
        <w:pStyle w:val="BlockText"/>
      </w:pPr>
      <w:r>
        <w:tab/>
      </w:r>
      <w:r w:rsidRPr="004634BE">
        <w:rPr>
          <w:i/>
          <w:u w:val="single"/>
        </w:rPr>
        <w:t>West Construction, Inc. v. Florida Blacktop, Inc.,</w:t>
      </w:r>
      <w:r>
        <w:t xml:space="preserve"> 37 Fla. L. Weekly D959c, Case No. 4D11-408, filed April 25, 2012. Reversed final judgment entered for paving subcontractor against contractor for lack of an enforceable contract between the parties. Subcontractor’s bid proposal contained provisions that </w:t>
      </w:r>
      <w:r w:rsidR="00832A42">
        <w:t xml:space="preserve">if the bid was used in any way too “shop” prices for the work, a binding contract would be created. Contractor had used subcontractor’s bid in its successful efforts to obtain a contract with a public entity (The Villages of Royal Palm Beach), and had even identified the subcontractor in </w:t>
      </w:r>
      <w:r w:rsidR="008D5528">
        <w:t>its</w:t>
      </w:r>
      <w:r w:rsidR="00832A42">
        <w:t xml:space="preserve"> contract proposal, but hired a different paver to perform the work.  In holding that an offer cannot prescribe conditions </w:t>
      </w:r>
      <w:r w:rsidR="00103CDF">
        <w:t>of rejection so as to turn silence</w:t>
      </w:r>
      <w:r w:rsidR="00832A42">
        <w:t xml:space="preserve"> on the part of the offeree into acceptance, it distinguished </w:t>
      </w:r>
      <w:r w:rsidR="00832A42" w:rsidRPr="00832A42">
        <w:rPr>
          <w:i/>
          <w:u w:val="single"/>
        </w:rPr>
        <w:t>W. R Townsend Contracting, Inc. v. Jensen Civil Construction, In</w:t>
      </w:r>
      <w:r w:rsidR="00832A42">
        <w:rPr>
          <w:i/>
          <w:u w:val="single"/>
        </w:rPr>
        <w:t>c.</w:t>
      </w:r>
      <w:r w:rsidR="00832A42">
        <w:t>, 728 So. 2d 297 (Fla. 1</w:t>
      </w:r>
      <w:r w:rsidR="00832A42" w:rsidRPr="00832A42">
        <w:rPr>
          <w:vertAlign w:val="superscript"/>
        </w:rPr>
        <w:t>st</w:t>
      </w:r>
      <w:r w:rsidR="00832A42">
        <w:t xml:space="preserve"> DCA 1999) in which an express contract was found to have been created by general contractor’s promise to contract with the subcontractor if it’s price was the lowest and the general secured the work.</w:t>
      </w:r>
    </w:p>
    <w:p w:rsidR="00620CC5" w:rsidRPr="00620CC5" w:rsidRDefault="00620CC5" w:rsidP="007E4176">
      <w:pPr>
        <w:pStyle w:val="BlockText"/>
        <w:ind w:firstLine="720"/>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90B6F" w:rsidRPr="0096439D" w:rsidRDefault="00940447" w:rsidP="00F9535D">
      <w:pPr>
        <w:pStyle w:val="BlockText"/>
      </w:pPr>
      <w:r>
        <w:tab/>
      </w:r>
      <w:r w:rsidR="00F85ED6">
        <w:t>(Nothing new to report)</w:t>
      </w:r>
    </w:p>
    <w:p w:rsidR="00290B6F" w:rsidRDefault="00290B6F"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98369B" w:rsidRDefault="00555FBF" w:rsidP="00F9535D">
      <w:pPr>
        <w:pStyle w:val="BlockText"/>
        <w:rPr>
          <w:rFonts w:asciiTheme="majorHAnsi" w:eastAsia="Times New Roman" w:hAnsiTheme="majorHAnsi" w:cstheme="majorHAnsi"/>
        </w:rPr>
      </w:pPr>
      <w:r>
        <w:rPr>
          <w:b/>
        </w:rPr>
        <w:t xml:space="preserve">Important Note: </w:t>
      </w:r>
      <w:r w:rsidRPr="003B5B30">
        <w:t>The legislature passed a new law,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 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8B06DE" w:rsidRPr="00936542"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p>
    <w:p w:rsidR="00936542" w:rsidRDefault="00936542" w:rsidP="00936542">
      <w:pPr>
        <w:pStyle w:val="BlockText"/>
        <w:ind w:left="1080"/>
      </w:pPr>
    </w:p>
    <w:p w:rsidR="00425FE8" w:rsidRDefault="008B06DE" w:rsidP="00425FE8">
      <w:pPr>
        <w:pStyle w:val="BlockText"/>
        <w:numPr>
          <w:ilvl w:val="1"/>
          <w:numId w:val="32"/>
        </w:numPr>
      </w:pPr>
      <w:r>
        <w:t>This board proposed to adopt</w:t>
      </w:r>
      <w:r w:rsidR="00055700">
        <w:t xml:space="preserve"> </w:t>
      </w:r>
      <w:r w:rsidR="004A5613">
        <w:t xml:space="preserve">or amend </w:t>
      </w:r>
      <w:r>
        <w:t xml:space="preserve">the following </w:t>
      </w:r>
      <w:r w:rsidR="00055700">
        <w:t xml:space="preserve">new </w:t>
      </w:r>
      <w:r>
        <w:t>rules</w:t>
      </w:r>
      <w:r w:rsidR="00927EF0">
        <w:t xml:space="preserve"> (if any):</w:t>
      </w:r>
    </w:p>
    <w:p w:rsidR="00055700" w:rsidRDefault="00055700" w:rsidP="00055700">
      <w:pPr>
        <w:pStyle w:val="BlockText"/>
        <w:ind w:left="1800"/>
      </w:pPr>
    </w:p>
    <w:p w:rsidR="00520F5E" w:rsidRDefault="00055700" w:rsidP="004A5613">
      <w:pPr>
        <w:pStyle w:val="BlockText"/>
        <w:numPr>
          <w:ilvl w:val="2"/>
          <w:numId w:val="32"/>
        </w:numPr>
      </w:pPr>
      <w:r>
        <w:t>Rule 61G4-15.0024</w:t>
      </w:r>
      <w:r w:rsidR="004A5613">
        <w:t xml:space="preserve"> (new)</w:t>
      </w:r>
      <w:r>
        <w:t xml:space="preserve">, </w:t>
      </w:r>
      <w:r w:rsidR="007E4176">
        <w:t xml:space="preserve">effective May 2,2012, </w:t>
      </w:r>
      <w:r>
        <w:t>setting forth the documentation required to determine control of the means and methods of construction work</w:t>
      </w:r>
      <w:r w:rsidR="000B1DDB">
        <w:t xml:space="preserve"> (supervision)</w:t>
      </w:r>
      <w:r>
        <w:t xml:space="preserve"> to be performed by an </w:t>
      </w:r>
      <w:r w:rsidR="007E4176">
        <w:t xml:space="preserve">applicant seeking to qualify an </w:t>
      </w:r>
      <w:r>
        <w:t>additional business entity (employment, ownership, etc.)</w:t>
      </w:r>
      <w:r w:rsidR="00107362">
        <w:t>.</w:t>
      </w:r>
    </w:p>
    <w:p w:rsidR="000B1DDB" w:rsidRDefault="000B1DDB" w:rsidP="000B1DDB">
      <w:pPr>
        <w:pStyle w:val="BlockText"/>
        <w:ind w:left="2520"/>
      </w:pPr>
    </w:p>
    <w:p w:rsidR="004A5613" w:rsidRDefault="00555FBF" w:rsidP="004A5613">
      <w:pPr>
        <w:pStyle w:val="BlockText"/>
        <w:numPr>
          <w:ilvl w:val="2"/>
          <w:numId w:val="32"/>
        </w:numPr>
      </w:pPr>
      <w:r>
        <w:t>Rule 61G4-15.0</w:t>
      </w:r>
      <w:r w:rsidR="007E4176">
        <w:t>18 (amendment), proposed to amend</w:t>
      </w:r>
      <w:r>
        <w:t xml:space="preserve"> the existing </w:t>
      </w:r>
      <w:r w:rsidR="007E4176">
        <w:t xml:space="preserve">scope of practice for </w:t>
      </w:r>
      <w:r w:rsidR="004A5613">
        <w:t>certification of Glass and Glazing specialty</w:t>
      </w:r>
      <w:r w:rsidR="006D7744">
        <w:t xml:space="preserve"> </w:t>
      </w:r>
      <w:r w:rsidR="007E4176">
        <w:t xml:space="preserve">contractors by adding </w:t>
      </w:r>
      <w:r w:rsidR="007E4176" w:rsidRPr="007E4176">
        <w:rPr>
          <w:b/>
        </w:rPr>
        <w:t>“structurally anchored impact-resistant opening protection</w:t>
      </w:r>
      <w:r w:rsidR="007E4176">
        <w:rPr>
          <w:b/>
        </w:rPr>
        <w:t>.</w:t>
      </w:r>
      <w:r w:rsidR="007E4176" w:rsidRPr="007E4176">
        <w:rPr>
          <w:b/>
        </w:rPr>
        <w:t>”</w:t>
      </w:r>
      <w:r w:rsidR="006D7744">
        <w:t>.</w:t>
      </w:r>
      <w:r w:rsidR="006D7744">
        <w:rPr>
          <w:rStyle w:val="FootnoteReference"/>
        </w:rPr>
        <w:footnoteReference w:id="1"/>
      </w:r>
    </w:p>
    <w:p w:rsidR="000B1DDB" w:rsidRDefault="000B1DDB" w:rsidP="000B1DDB">
      <w:pPr>
        <w:pStyle w:val="ListParagraph"/>
      </w:pPr>
    </w:p>
    <w:p w:rsidR="000B1DDB" w:rsidRDefault="000B1DDB" w:rsidP="004A5613">
      <w:pPr>
        <w:pStyle w:val="BlockText"/>
        <w:numPr>
          <w:ilvl w:val="2"/>
          <w:numId w:val="32"/>
        </w:numPr>
      </w:pPr>
      <w:r>
        <w:t>Rule 61G4-15.032, to modify language clarifying certification of swimming pool specialty contractors.</w:t>
      </w:r>
    </w:p>
    <w:p w:rsidR="00103CDF" w:rsidRDefault="00103CDF" w:rsidP="00103CDF">
      <w:pPr>
        <w:pStyle w:val="BlockText"/>
        <w:ind w:left="2520"/>
      </w:pPr>
    </w:p>
    <w:p w:rsidR="000B1DDB" w:rsidRDefault="000B1DDB" w:rsidP="004A5613">
      <w:pPr>
        <w:pStyle w:val="BlockText"/>
        <w:numPr>
          <w:ilvl w:val="2"/>
          <w:numId w:val="32"/>
        </w:numPr>
      </w:pPr>
      <w:r>
        <w:t>Rule 61G4-15.001(5)(c)</w:t>
      </w:r>
      <w:r w:rsidR="007E4176">
        <w:t xml:space="preserve"> (amendment), proposing a change to the</w:t>
      </w:r>
      <w:r>
        <w:t xml:space="preserve"> </w:t>
      </w:r>
      <w:r w:rsidR="007E4176">
        <w:t xml:space="preserve">required instruction hours </w:t>
      </w:r>
      <w:r>
        <w:t>for certification of swimming pool contractor</w:t>
      </w:r>
      <w:r w:rsidR="007E4176">
        <w:t>s by deleting reference to National Spa and Pool Institute and adding any nationally recognized swimming pool association</w:t>
      </w:r>
      <w:r>
        <w:t>.</w:t>
      </w:r>
    </w:p>
    <w:p w:rsidR="00425FE8" w:rsidRDefault="00425FE8" w:rsidP="00107362"/>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FA5090" w:rsidRDefault="008B06DE" w:rsidP="00BD1D69">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055700">
        <w:t>:</w:t>
      </w:r>
    </w:p>
    <w:p w:rsidR="00555FBF" w:rsidRDefault="00555FBF" w:rsidP="00555FBF">
      <w:pPr>
        <w:pStyle w:val="BlockText"/>
      </w:pPr>
    </w:p>
    <w:p w:rsidR="000341ED" w:rsidRDefault="004A0671" w:rsidP="006465C5">
      <w:pPr>
        <w:pStyle w:val="BlockText"/>
        <w:numPr>
          <w:ilvl w:val="2"/>
          <w:numId w:val="32"/>
        </w:numPr>
      </w:pPr>
      <w:r>
        <w:t xml:space="preserve">Mat Concessionaire, LLC </w:t>
      </w:r>
      <w:r w:rsidR="00832A42">
        <w:t xml:space="preserve">filed </w:t>
      </w:r>
      <w:r w:rsidR="000341ED">
        <w:t>on March 5, 2012, regarding whether a construction license is required for</w:t>
      </w:r>
      <w:r w:rsidR="00832A42">
        <w:t xml:space="preserve"> </w:t>
      </w:r>
      <w:r w:rsidR="000341ED">
        <w:t>a Florida Department of Transportation “Public-Private Partnership” project (the Miami Tunnel) pursuant to section 334.30, Florida Statutes.</w:t>
      </w:r>
      <w:r w:rsidR="00A973D9">
        <w:t>.</w:t>
      </w:r>
    </w:p>
    <w:p w:rsidR="000341ED" w:rsidRDefault="000341ED" w:rsidP="000341ED">
      <w:pPr>
        <w:pStyle w:val="ListParagraph"/>
      </w:pPr>
    </w:p>
    <w:p w:rsidR="000341ED" w:rsidRDefault="000341ED" w:rsidP="000341ED">
      <w:pPr>
        <w:pStyle w:val="BlockText"/>
        <w:numPr>
          <w:ilvl w:val="2"/>
          <w:numId w:val="32"/>
        </w:numPr>
      </w:pPr>
      <w:r>
        <w:t>By order entered on March 8, 2012, the board denied a petition by Diversified Window Solutions, filed on January 13, 2012, due to lack of standing and lack of information.</w:t>
      </w:r>
    </w:p>
    <w:p w:rsidR="000341ED" w:rsidRDefault="000341ED" w:rsidP="000341ED">
      <w:pPr>
        <w:pStyle w:val="ListParagraph"/>
      </w:pPr>
    </w:p>
    <w:p w:rsidR="000341ED" w:rsidRDefault="000341ED" w:rsidP="000341ED">
      <w:pPr>
        <w:pStyle w:val="BlockText"/>
        <w:numPr>
          <w:ilvl w:val="2"/>
          <w:numId w:val="32"/>
        </w:numPr>
      </w:pPr>
      <w:r>
        <w:t>By order entered on March 8, 2012, the board granted a petition by Close Construction, LLC, filed on January 3, 2012, that a licensed general contractor has the necessary licenses to install water piping within the water treatment plant and into the distribution system outside of the water treatment plant</w:t>
      </w:r>
      <w:r w:rsidR="000509E7">
        <w:t>, and to install a pre-manufactured blower assembly within the water treatment plant.</w:t>
      </w:r>
    </w:p>
    <w:p w:rsidR="006465C5" w:rsidRDefault="006465C5" w:rsidP="006465C5">
      <w:pPr>
        <w:pStyle w:val="ListParagraph"/>
      </w:pPr>
    </w:p>
    <w:p w:rsidR="006465C5" w:rsidRDefault="006465C5" w:rsidP="006465C5">
      <w:pPr>
        <w:pStyle w:val="BlockText"/>
        <w:numPr>
          <w:ilvl w:val="2"/>
          <w:numId w:val="32"/>
        </w:numPr>
      </w:pPr>
      <w:r>
        <w:t>Cha</w:t>
      </w:r>
      <w:r w:rsidR="004A0671">
        <w:t xml:space="preserve">mpion Services of Florida, LLC </w:t>
      </w:r>
      <w:r>
        <w:t>filed on March 23, 2012, regarding whether any statewide license is required to enter into a subcontract with, and supervised by a state certified Division I contractor, to demolish and remove elements and systems, such as sheet metal, mechanical, plumbing and commercial pool and spa systems that have been previously disconnected by the appropriate Division II contractors.</w:t>
      </w:r>
    </w:p>
    <w:p w:rsidR="006465C5" w:rsidRDefault="006465C5" w:rsidP="006465C5">
      <w:pPr>
        <w:pStyle w:val="ListParagraph"/>
      </w:pPr>
    </w:p>
    <w:p w:rsidR="006465C5" w:rsidRDefault="006465C5" w:rsidP="006465C5">
      <w:pPr>
        <w:pStyle w:val="BlockText"/>
        <w:numPr>
          <w:ilvl w:val="2"/>
          <w:numId w:val="32"/>
        </w:numPr>
      </w:pPr>
      <w:r>
        <w:t>Glen</w:t>
      </w:r>
      <w:r w:rsidR="004A0671">
        <w:t xml:space="preserve">n B. Pereno </w:t>
      </w:r>
      <w:r>
        <w:t>filed on April 9, 2012, regarding whether a certified building contractor can, pursuant to section 489.105(3)(b), perform remodeling, repairs or improvements of any size building up to three-stories when such does not effect the structural members of the building.</w:t>
      </w:r>
    </w:p>
    <w:p w:rsidR="006465C5" w:rsidRDefault="006465C5" w:rsidP="006465C5">
      <w:pPr>
        <w:pStyle w:val="ListParagraph"/>
      </w:pPr>
    </w:p>
    <w:p w:rsidR="006465C5" w:rsidRDefault="006465C5" w:rsidP="006465C5">
      <w:pPr>
        <w:pStyle w:val="BlockText"/>
        <w:numPr>
          <w:ilvl w:val="2"/>
          <w:numId w:val="32"/>
        </w:numPr>
      </w:pPr>
      <w:r>
        <w:t>Singley Constructi</w:t>
      </w:r>
      <w:r w:rsidR="004A0671">
        <w:t xml:space="preserve">on Company, Inc. </w:t>
      </w:r>
      <w:r>
        <w:t>filed on April 10, 2012, regarding whether a state license is required under section 489.105(3)(p) for soil excavation where there is no tank on site.</w:t>
      </w:r>
    </w:p>
    <w:p w:rsidR="006465C5" w:rsidRDefault="006465C5" w:rsidP="006465C5">
      <w:pPr>
        <w:pStyle w:val="ListParagraph"/>
      </w:pPr>
    </w:p>
    <w:p w:rsidR="006465C5" w:rsidRDefault="006465C5" w:rsidP="006465C5">
      <w:pPr>
        <w:pStyle w:val="BlockText"/>
        <w:numPr>
          <w:ilvl w:val="2"/>
          <w:numId w:val="32"/>
        </w:numPr>
      </w:pPr>
      <w:r>
        <w:t>By order entered on April 20, 2012, the board granted a petition by Ista North America, Inc., filed on January 10, 2012, that a general contractor’s license is required for installation of sub-meters but without addressing  any requirements for electrical contracting license.</w:t>
      </w:r>
    </w:p>
    <w:p w:rsidR="006465C5" w:rsidRDefault="006465C5" w:rsidP="006465C5">
      <w:pPr>
        <w:pStyle w:val="ListParagraph"/>
      </w:pPr>
    </w:p>
    <w:p w:rsidR="006465C5" w:rsidRDefault="006465C5" w:rsidP="006465C5">
      <w:pPr>
        <w:pStyle w:val="BlockText"/>
        <w:numPr>
          <w:ilvl w:val="2"/>
          <w:numId w:val="32"/>
        </w:numPr>
      </w:pPr>
      <w:r>
        <w:t>By order entered on April 20, 2012, the board denied a petition by City of Miami Beach Building Department, filed on February 21, 2012, regarding whether the replacement or repaid of a broken shut-off value feeding a water cooled 2 ton unit connected to the riser of a 500 ton water cooling tower was within the scope of a Class B air conditioning contractor license, for lack of standing and lack of sufficient information.</w:t>
      </w:r>
    </w:p>
    <w:p w:rsidR="006465C5" w:rsidRDefault="006465C5" w:rsidP="006465C5">
      <w:pPr>
        <w:pStyle w:val="ListParagraph"/>
      </w:pPr>
    </w:p>
    <w:p w:rsidR="006465C5" w:rsidRDefault="006465C5" w:rsidP="006465C5">
      <w:pPr>
        <w:pStyle w:val="BlockText"/>
        <w:numPr>
          <w:ilvl w:val="2"/>
          <w:numId w:val="32"/>
        </w:numPr>
      </w:pPr>
      <w:r>
        <w:t xml:space="preserve">By order entered on April 20, 2012, the board denied a petition by Pool &amp; Kent Company of Florida, filed on February 7, 2012, regarding whether a mechanical contractor license is required to perform the mechanical work on wastewater treatment facility projects, or whether that work can be performed by a general contractor without a mechanical contractor license, for lack of standing because the petitioner had both licenses and appeared to be referring to the conduct of others contrary to Rule 28-105.001, Florida Administrative Code. </w:t>
      </w:r>
    </w:p>
    <w:p w:rsidR="007862BD" w:rsidRDefault="007862BD" w:rsidP="007862BD">
      <w:pPr>
        <w:pStyle w:val="ListParagraph"/>
      </w:pPr>
    </w:p>
    <w:p w:rsidR="007862BD" w:rsidRDefault="00A973D9" w:rsidP="000341ED">
      <w:pPr>
        <w:pStyle w:val="BlockText"/>
        <w:numPr>
          <w:ilvl w:val="2"/>
          <w:numId w:val="32"/>
        </w:numPr>
      </w:pPr>
      <w:r>
        <w:t xml:space="preserve">By order entered on April 27, 2012, the board granted a petition by </w:t>
      </w:r>
      <w:r w:rsidR="007862BD">
        <w:t>Derek Pratt, filed on Marc</w:t>
      </w:r>
      <w:r>
        <w:t>h 9, 2012, that a plumbing</w:t>
      </w:r>
      <w:r w:rsidR="007862BD">
        <w:t xml:space="preserve"> license is required, pursuant to section 489.105, for sewer and drain cleaning, TV pipeline inspection, and private utility locating</w:t>
      </w:r>
      <w:r>
        <w:t>, because it involves entry into the sanitary sewer lines</w:t>
      </w:r>
      <w:r w:rsidR="007862BD">
        <w:t>.</w:t>
      </w:r>
    </w:p>
    <w:p w:rsidR="006465C5" w:rsidRDefault="006465C5" w:rsidP="006465C5">
      <w:pPr>
        <w:pStyle w:val="ListParagraph"/>
      </w:pPr>
    </w:p>
    <w:p w:rsidR="006465C5" w:rsidRDefault="006465C5" w:rsidP="006465C5">
      <w:pPr>
        <w:pStyle w:val="BlockText"/>
        <w:numPr>
          <w:ilvl w:val="2"/>
          <w:numId w:val="32"/>
        </w:numPr>
      </w:pPr>
      <w:r>
        <w:t>By order entered on April 27, 0212, the board granted a petition by C.A.R.P.I. U.S.A., Inc., filed on March 12, 2012, that a construction license is not required for the subcontracting of installation of specified lining materials as a water barrier.</w:t>
      </w:r>
    </w:p>
    <w:p w:rsidR="006465C5" w:rsidRDefault="006465C5" w:rsidP="006465C5">
      <w:pPr>
        <w:pStyle w:val="ListParagraph"/>
      </w:pPr>
    </w:p>
    <w:p w:rsidR="000509E7" w:rsidRDefault="006465C5" w:rsidP="006465C5">
      <w:pPr>
        <w:pStyle w:val="BlockText"/>
        <w:numPr>
          <w:ilvl w:val="2"/>
          <w:numId w:val="32"/>
        </w:numPr>
      </w:pPr>
      <w:r>
        <w:t>By order entered on April 27, 2012, the board granted a petition by Jeff Tawney, AquaCat AutoPilot, Inc., filed on March 9, 2012, that  contracting and installing a heat pump for a swimming pool or spa  cannot be performed by a Class A or Class B air conditioning license</w:t>
      </w:r>
    </w:p>
    <w:p w:rsidR="00DA399C" w:rsidRDefault="00DA399C" w:rsidP="00DA399C">
      <w:pPr>
        <w:pStyle w:val="BlockText"/>
        <w:ind w:left="1800"/>
      </w:pPr>
    </w:p>
    <w:p w:rsidR="008B06DE" w:rsidRDefault="008B06DE" w:rsidP="009B53D8">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p>
    <w:p w:rsidR="00BD1D69" w:rsidRDefault="00BD1D69" w:rsidP="00BD1D69">
      <w:pPr>
        <w:pStyle w:val="ListParagraph"/>
      </w:pPr>
    </w:p>
    <w:p w:rsidR="00F21394" w:rsidRDefault="004A6E9B" w:rsidP="004A6E9B">
      <w:pPr>
        <w:pStyle w:val="ListParagraph"/>
        <w:numPr>
          <w:ilvl w:val="2"/>
          <w:numId w:val="32"/>
        </w:numPr>
        <w:jc w:val="both"/>
      </w:pPr>
      <w:r>
        <w:t>By order entered on March 8, 2012, the board has denied a variance or waiver related to Rule 61G4-16.005, filed by Aldria White on January 20, 2012, limiting the period for a passing grade to remain valid for a period of four (4) years, due to petitioner’s failure to show a demonstrated economic, technological, legal or other hardship, or that application of the rule would violate principles of fairness.</w:t>
      </w:r>
    </w:p>
    <w:p w:rsidR="004A6E9B" w:rsidRDefault="004A6E9B" w:rsidP="004A0671"/>
    <w:p w:rsidR="004A6E9B" w:rsidRDefault="004A0671" w:rsidP="004A6E9B">
      <w:pPr>
        <w:pStyle w:val="ListParagraph"/>
        <w:numPr>
          <w:ilvl w:val="2"/>
          <w:numId w:val="32"/>
        </w:numPr>
        <w:jc w:val="both"/>
      </w:pPr>
      <w:r>
        <w:t>Joseph S. Leighton</w:t>
      </w:r>
      <w:r w:rsidR="004A6E9B">
        <w:t xml:space="preserve"> filed on April 10, 2012, for a </w:t>
      </w:r>
      <w:r>
        <w:t>permanent variance or waiver from Rule 61G4-15.001(2)(a) and (b), regarding the qualifications for certification and verification of experience by affidavits prepared or signed by a state certified Florida contractor, or an architect or engineer, in the applicant’s category, who is licensed in good standing or a licensed building cord official.</w:t>
      </w:r>
    </w:p>
    <w:p w:rsidR="004A0671" w:rsidRDefault="004A0671" w:rsidP="004A0671">
      <w:pPr>
        <w:pStyle w:val="ListParagraph"/>
      </w:pPr>
    </w:p>
    <w:p w:rsidR="004A0671" w:rsidRDefault="004A0671" w:rsidP="004A0671">
      <w:pPr>
        <w:pStyle w:val="ListParagraph"/>
        <w:numPr>
          <w:ilvl w:val="2"/>
          <w:numId w:val="32"/>
        </w:numPr>
        <w:jc w:val="both"/>
      </w:pPr>
      <w:r>
        <w:t>Thunderbolt Construction Services, LLC filed on April 23, 2012, for a permanent variance or waiver from Rule 61G4-15.006, related to the financial responsibility and financial stability requirement for initial licensure.</w:t>
      </w:r>
    </w:p>
    <w:p w:rsidR="004A0671" w:rsidRDefault="004A0671" w:rsidP="004A0671">
      <w:pPr>
        <w:pStyle w:val="ListParagraph"/>
      </w:pPr>
    </w:p>
    <w:p w:rsidR="004A0671" w:rsidRDefault="004A0671" w:rsidP="004A0671">
      <w:pPr>
        <w:pStyle w:val="ListParagraph"/>
        <w:numPr>
          <w:ilvl w:val="2"/>
          <w:numId w:val="32"/>
        </w:numPr>
        <w:jc w:val="both"/>
      </w:pPr>
      <w:r>
        <w:t>By order entered on April 24, 2012, the board has granted a conditional variance or waiver related to Rule 61G4-15.001(2), filed by Scott D. Brace on February 9, 2012, regarding the qualifications for certification of general contractors which would allow Petitioner to construct non-exempt rail work and structures incidental thereto.</w:t>
      </w:r>
    </w:p>
    <w:p w:rsidR="00555FBF" w:rsidRDefault="00555FBF" w:rsidP="004A6E9B">
      <w:pPr>
        <w:ind w:left="2160"/>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714D7" w:rsidRDefault="008B06DE" w:rsidP="00425FE8">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103CDF">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103CDF">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103CDF">
        <w:t xml:space="preserve"> None.</w:t>
      </w:r>
    </w:p>
    <w:p w:rsidR="00055700" w:rsidRDefault="00055700" w:rsidP="00055700">
      <w:pPr>
        <w:pStyle w:val="ListParagraph"/>
      </w:pPr>
    </w:p>
    <w:p w:rsidR="008714D7" w:rsidRDefault="008B06DE" w:rsidP="008B06DE">
      <w:pPr>
        <w:pStyle w:val="BlockText"/>
        <w:numPr>
          <w:ilvl w:val="1"/>
          <w:numId w:val="32"/>
        </w:numPr>
      </w:pPr>
      <w:r>
        <w:t xml:space="preserve">This board has received </w:t>
      </w:r>
      <w:r w:rsidR="00555FBF">
        <w:t xml:space="preserve">or disposed of </w:t>
      </w:r>
      <w:r>
        <w:t>the following P</w:t>
      </w:r>
      <w:r w:rsidR="00927EF0">
        <w:t>etitions for Variance or Waiver (if any):</w:t>
      </w:r>
    </w:p>
    <w:p w:rsidR="00922A6D" w:rsidRDefault="00922A6D" w:rsidP="00922A6D">
      <w:pPr>
        <w:pStyle w:val="BlockText"/>
        <w:ind w:left="1800"/>
      </w:pPr>
    </w:p>
    <w:p w:rsidR="003C50CC" w:rsidRDefault="004A0671" w:rsidP="004A0671">
      <w:pPr>
        <w:pStyle w:val="BlockText"/>
        <w:numPr>
          <w:ilvl w:val="2"/>
          <w:numId w:val="32"/>
        </w:numPr>
      </w:pPr>
      <w:r>
        <w:t>By order entered on March 15, 2012, the board granted a petition by Paul Avila, filed on December 1, 2011, for a variance or waiver from subsection 61G6-5.002(1), regarding application for certification.</w:t>
      </w:r>
    </w:p>
    <w:p w:rsidR="00103CDF" w:rsidRDefault="00103CDF" w:rsidP="00103CDF">
      <w:pPr>
        <w:pStyle w:val="BlockText"/>
        <w:ind w:left="2520"/>
      </w:pPr>
    </w:p>
    <w:p w:rsidR="004A0671" w:rsidRDefault="00103CDF" w:rsidP="004A0671">
      <w:pPr>
        <w:pStyle w:val="BlockText"/>
        <w:numPr>
          <w:ilvl w:val="2"/>
          <w:numId w:val="32"/>
        </w:numPr>
      </w:pPr>
      <w:r>
        <w:t>Robert M. Steadman filed on M</w:t>
      </w:r>
      <w:r w:rsidR="004A0671">
        <w:t>arch 28, 2012, regarding the requirements of Rule 61G6-6.017</w:t>
      </w:r>
      <w:r>
        <w:t xml:space="preserve"> for a passing score on any part of the examination to be valid only for a period of two (2) years from date of examination.</w:t>
      </w:r>
    </w:p>
    <w:p w:rsidR="00103CDF" w:rsidRDefault="00103CDF" w:rsidP="00103CDF">
      <w:pPr>
        <w:pStyle w:val="BlockText"/>
      </w:pPr>
    </w:p>
    <w:p w:rsidR="00103CDF" w:rsidRDefault="00103CDF" w:rsidP="004A0671">
      <w:pPr>
        <w:pStyle w:val="BlockText"/>
        <w:numPr>
          <w:ilvl w:val="2"/>
          <w:numId w:val="32"/>
        </w:numPr>
      </w:pPr>
      <w:r>
        <w:t>Richard Algar filed on May 2, 2012, regarding the requirements of Rule 61G6-5.002 for an application for certification.</w:t>
      </w:r>
    </w:p>
    <w:p w:rsidR="00555FBF" w:rsidRDefault="00555FBF" w:rsidP="00555FBF">
      <w:pPr>
        <w:pStyle w:val="BlockText"/>
        <w:ind w:left="2160"/>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F56C3E" w:rsidRDefault="008B06DE" w:rsidP="00F56C3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8D5528" w:rsidRDefault="008D5528" w:rsidP="008D5528">
      <w:pPr>
        <w:pStyle w:val="BlockText"/>
        <w:ind w:left="1800"/>
      </w:pPr>
    </w:p>
    <w:p w:rsidR="00103CDF" w:rsidRDefault="00103CDF" w:rsidP="00103CDF">
      <w:pPr>
        <w:pStyle w:val="BlockText"/>
        <w:numPr>
          <w:ilvl w:val="2"/>
          <w:numId w:val="32"/>
        </w:numPr>
      </w:pPr>
      <w:r>
        <w:t>Rule 61G1-17.002 (amendment), regarding professional fees and penalties by requiring examination fees to be directly to National Council of Interior Design Qualifications (NCIDA), rather than to the department, and to lower the fees payable for continuing education providers and courses.</w:t>
      </w:r>
    </w:p>
    <w:p w:rsidR="00DD3ECB" w:rsidRDefault="00DD3ECB" w:rsidP="00DD3ECB">
      <w:pPr>
        <w:pStyle w:val="BlockText"/>
        <w:ind w:left="2520"/>
      </w:pPr>
    </w:p>
    <w:p w:rsidR="00DD3ECB" w:rsidRDefault="00103CDF" w:rsidP="00103CDF">
      <w:pPr>
        <w:pStyle w:val="BlockText"/>
        <w:numPr>
          <w:ilvl w:val="2"/>
          <w:numId w:val="32"/>
        </w:numPr>
      </w:pPr>
      <w:r>
        <w:t>Rule 61G1-24.003 (amendment), regarding definition of “inactive.</w:t>
      </w:r>
      <w:r w:rsidR="00DD3ECB">
        <w:t>”</w:t>
      </w:r>
    </w:p>
    <w:p w:rsidR="00DD3ECB" w:rsidRDefault="00DD3ECB" w:rsidP="00DD3ECB">
      <w:pPr>
        <w:pStyle w:val="ListParagraph"/>
      </w:pPr>
    </w:p>
    <w:p w:rsidR="00103CDF" w:rsidRDefault="00103CDF" w:rsidP="00103CDF">
      <w:pPr>
        <w:pStyle w:val="BlockText"/>
        <w:numPr>
          <w:ilvl w:val="2"/>
          <w:numId w:val="32"/>
        </w:numPr>
      </w:pPr>
      <w:r>
        <w:t>Rule 61G1-21.002 and 21.008 (amendments) regarding organization</w:t>
      </w:r>
      <w:r w:rsidR="00DD3ECB">
        <w:t xml:space="preserve"> and administration to change “audit” of continuing professional education records of licensees, to “monitor,” and to delete “delinquent” status.</w:t>
      </w:r>
    </w:p>
    <w:p w:rsidR="008B06DE" w:rsidRDefault="008B06DE" w:rsidP="008B06DE">
      <w:pPr>
        <w:pStyle w:val="BlockText"/>
      </w:pPr>
    </w:p>
    <w:p w:rsidR="00EA1B72" w:rsidRDefault="00EA1B72" w:rsidP="0096439D">
      <w:pPr>
        <w:pStyle w:val="BlockText"/>
        <w:numPr>
          <w:ilvl w:val="1"/>
          <w:numId w:val="32"/>
        </w:numPr>
      </w:pPr>
      <w:r>
        <w:t>This board proposed the repeal of the following rules (if any):</w:t>
      </w:r>
      <w:r w:rsidR="00103CDF">
        <w:t xml:space="preserve"> None.</w:t>
      </w:r>
    </w:p>
    <w:p w:rsidR="00EA1B72" w:rsidRDefault="00EA1B72" w:rsidP="00EA1B72">
      <w:pPr>
        <w:pStyle w:val="BlockText"/>
        <w:ind w:left="2520"/>
      </w:pP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103CDF">
        <w:t>None.</w:t>
      </w:r>
    </w:p>
    <w:p w:rsidR="008B06DE" w:rsidRDefault="008B06DE" w:rsidP="008B06DE">
      <w:pPr>
        <w:pStyle w:val="ListParagraph"/>
      </w:pPr>
    </w:p>
    <w:p w:rsidR="006577D7" w:rsidRDefault="008B06DE" w:rsidP="00F56C3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103CDF">
        <w:t>None.</w:t>
      </w:r>
    </w:p>
    <w:p w:rsidR="006577D7" w:rsidRDefault="006577D7" w:rsidP="006577D7">
      <w:pPr>
        <w:pStyle w:val="BlockText"/>
        <w:ind w:left="1800"/>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697F28" w:rsidRDefault="008B06DE" w:rsidP="00697F28">
      <w:pPr>
        <w:pStyle w:val="BlockText"/>
        <w:numPr>
          <w:ilvl w:val="1"/>
          <w:numId w:val="32"/>
        </w:numPr>
      </w:pPr>
      <w:r>
        <w:t>This board proposed to adopt</w:t>
      </w:r>
      <w:r w:rsidR="00927EF0">
        <w:t xml:space="preserve"> or amend</w:t>
      </w:r>
      <w:r>
        <w:t xml:space="preserve"> the following rules</w:t>
      </w:r>
      <w:r w:rsidR="00927EF0">
        <w:t xml:space="preserve"> (</w:t>
      </w:r>
      <w:r w:rsidR="005F17D4">
        <w:t>i</w:t>
      </w:r>
      <w:r w:rsidR="00927EF0">
        <w:t>f any)</w:t>
      </w:r>
      <w:r>
        <w:t>:</w:t>
      </w:r>
      <w:r w:rsidR="00697F28">
        <w:t xml:space="preserve"> Rule 61G15-29.001, regarding certification definition, procedures and prohibitions.</w:t>
      </w:r>
    </w:p>
    <w:p w:rsidR="00697F28" w:rsidRDefault="00697F28" w:rsidP="00697F28">
      <w:pPr>
        <w:pStyle w:val="BlockText"/>
        <w:ind w:left="1800"/>
      </w:pPr>
    </w:p>
    <w:p w:rsidR="00200951" w:rsidRDefault="00200951" w:rsidP="00697F28">
      <w:pPr>
        <w:pStyle w:val="BlockText"/>
        <w:numPr>
          <w:ilvl w:val="1"/>
          <w:numId w:val="32"/>
        </w:numPr>
      </w:pPr>
      <w:r>
        <w:t>This board proposed</w:t>
      </w:r>
      <w:r w:rsidR="00697F28">
        <w:t xml:space="preserve"> to repeal the following rules: Rule 61G15-19.008(1), regarding confidentiality of investigations, effective on May 20, 2012.</w:t>
      </w:r>
    </w:p>
    <w:p w:rsidR="00200951" w:rsidRDefault="00200951" w:rsidP="00200951">
      <w:pPr>
        <w:pStyle w:val="BlockText"/>
        <w:ind w:left="1800"/>
      </w:pPr>
    </w:p>
    <w:p w:rsidR="008B06DE" w:rsidRDefault="008B06DE" w:rsidP="00E16D83">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520F5E">
        <w:t xml:space="preserve"> </w:t>
      </w:r>
      <w:r w:rsidR="005F17D4">
        <w:t>None.</w:t>
      </w:r>
    </w:p>
    <w:p w:rsidR="00555FBF" w:rsidRDefault="00555FBF" w:rsidP="00555FBF">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697F28">
        <w:t xml:space="preserve"> Oswald Pasquesi, filed on March 27, 2012, regarding Rule 61G15-20.0015, requiring that an application must demonstrate compliance with the current criteria listed in section 471.013, and </w:t>
      </w:r>
      <w:r w:rsidR="00F7297C">
        <w:t xml:space="preserve">completion of an accredited engineering degree program </w:t>
      </w:r>
      <w:r w:rsidR="00697F28">
        <w:t>for licensure by endorsement.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C0D2B" w:rsidRDefault="00F60C95" w:rsidP="00F60C95">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8B06DE">
        <w:t>:</w:t>
      </w:r>
      <w:r>
        <w:t xml:space="preserve"> </w:t>
      </w:r>
      <w:r w:rsidR="005F17D4">
        <w:t>None.</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5F17D4">
        <w:t xml:space="preserve"> None.</w:t>
      </w:r>
    </w:p>
    <w:p w:rsidR="008B06DE" w:rsidRDefault="008B06DE" w:rsidP="00055700">
      <w:pPr>
        <w:pStyle w:val="BlockText"/>
      </w:pPr>
    </w:p>
    <w:p w:rsidR="00055700" w:rsidRDefault="008B06DE" w:rsidP="005F17D4">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927EF0">
        <w:t xml:space="preserve"> </w:t>
      </w:r>
      <w:r w:rsidR="00055700">
        <w:t xml:space="preserve">Robert J. Koning, seeking the agency’s opinion as to whether ss 468.831 and 468.8311, regarding standard one and two family dwelling inspections, entitles a licensee to contract with non-governmental </w:t>
      </w:r>
      <w:r w:rsidR="00E16D83">
        <w:t>parties</w:t>
      </w:r>
      <w:r w:rsidR="00055700">
        <w:t xml:space="preserve"> to provide Home Inspection Services</w:t>
      </w:r>
      <w:r w:rsidR="00555FBF">
        <w:t>, was DENIED for lack</w:t>
      </w:r>
      <w:r w:rsidR="005F17D4">
        <w:t xml:space="preserve"> of standing</w:t>
      </w:r>
      <w:r w:rsidR="00055700">
        <w:t>.</w:t>
      </w:r>
      <w:r w:rsidR="005F17D4">
        <w:rPr>
          <w:rStyle w:val="FootnoteReference"/>
        </w:rPr>
        <w:footnoteReference w:id="2"/>
      </w:r>
    </w:p>
    <w:p w:rsidR="008B06DE" w:rsidRDefault="008B06DE" w:rsidP="00CB18D5"/>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5F17D4">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3"/>
      </w:r>
      <w:r w:rsidR="00CA1872">
        <w:t xml:space="preserve"> – C</w:t>
      </w:r>
      <w:r w:rsidR="00383EFB">
        <w:t>hapter 553, Part IV</w:t>
      </w:r>
      <w:r w:rsidR="002E2A6D">
        <w:t xml:space="preserve"> and 9N FAC</w:t>
      </w:r>
      <w:r w:rsidR="00922A6D">
        <w:t xml:space="preserve"> (now Chapter 61G20</w:t>
      </w:r>
      <w:r w:rsidR="0038047E">
        <w:rPr>
          <w:rStyle w:val="FootnoteReference"/>
        </w:rPr>
        <w:footnoteReference w:id="4"/>
      </w:r>
      <w:r w:rsidR="00922A6D">
        <w:t>)</w:t>
      </w:r>
      <w:r w:rsidR="002E2A6D">
        <w:t>:</w:t>
      </w:r>
      <w:r w:rsidR="009A1012">
        <w:t xml:space="preserve"> </w:t>
      </w:r>
    </w:p>
    <w:p w:rsidR="0096439D" w:rsidRDefault="0096439D" w:rsidP="005F17D4">
      <w:pPr>
        <w:pStyle w:val="BlockText"/>
      </w:pPr>
    </w:p>
    <w:p w:rsidR="005F17D4" w:rsidRDefault="0096439D" w:rsidP="005F17D4">
      <w:pPr>
        <w:pStyle w:val="BlockText"/>
        <w:numPr>
          <w:ilvl w:val="1"/>
          <w:numId w:val="32"/>
        </w:numPr>
      </w:pPr>
      <w:r>
        <w:t>T</w:t>
      </w:r>
      <w:r w:rsidR="00922A6D">
        <w:t>he commission</w:t>
      </w:r>
      <w:r w:rsidR="008B06DE">
        <w:t xml:space="preserve"> has received the following Petitions for Declaratory Statement</w:t>
      </w:r>
      <w:r w:rsidR="00927EF0">
        <w:t xml:space="preserve"> (if any)</w:t>
      </w:r>
      <w:r w:rsidR="008B06DE">
        <w:t>:</w:t>
      </w:r>
      <w:r w:rsidR="005F17D4">
        <w:t xml:space="preserve"> Joe Belcher, AWP Windows and Doors, and Aluminum Association of Florida, regarding replacement fenestration units for renovated buildings, and requesting a code interpretation that if the costs for replacement are less than 30% of the assessed value of the building that window replacements would not have to comply with the new Building Code, Energy Code requirements (which became effective with the 2010 edition of the Building Code on March 15, 0212. The first hearing on this petition is set for June 12, 2012.</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D83830">
        <w:t xml:space="preserve"> </w:t>
      </w:r>
      <w:r w:rsidR="005F17D4">
        <w:t>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227443" w:rsidRPr="00922A6D" w:rsidRDefault="0098369B" w:rsidP="006577D7">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922A6D">
        <w:rPr>
          <w:b/>
        </w:rPr>
        <w:t xml:space="preserve">effective </w:t>
      </w:r>
      <w:r w:rsidR="00B04E9C">
        <w:rPr>
          <w:b/>
        </w:rPr>
        <w:t>April 27, 2012, mad</w:t>
      </w:r>
      <w:r w:rsidR="006577D7" w:rsidRPr="00922A6D">
        <w:rPr>
          <w:b/>
        </w:rPr>
        <w:t>e</w:t>
      </w:r>
      <w:r w:rsidR="00B04E9C">
        <w:rPr>
          <w:b/>
        </w:rPr>
        <w:t xml:space="preserve"> the following changes</w:t>
      </w:r>
      <w:r w:rsidR="006577D7" w:rsidRPr="00922A6D">
        <w:rPr>
          <w:b/>
        </w:rPr>
        <w:t>:</w:t>
      </w:r>
    </w:p>
    <w:p w:rsidR="006577D7" w:rsidRDefault="006577D7" w:rsidP="006577D7">
      <w:pPr>
        <w:pStyle w:val="ListParagraph"/>
      </w:pPr>
    </w:p>
    <w:p w:rsidR="006577D7" w:rsidRDefault="006577D7" w:rsidP="006577D7">
      <w:pPr>
        <w:pStyle w:val="BlockText"/>
        <w:numPr>
          <w:ilvl w:val="1"/>
          <w:numId w:val="30"/>
        </w:numPr>
      </w:pPr>
      <w:r>
        <w:t xml:space="preserve">The </w:t>
      </w:r>
      <w:r w:rsidR="00CF37B7">
        <w:t>Department</w:t>
      </w:r>
      <w:r>
        <w:t xml:space="preserve"> of Health’s authority for plan review and approval of swimming pools and bathing pools is repealed and given to local government in accordance with the Florida Building Code.</w:t>
      </w:r>
    </w:p>
    <w:p w:rsidR="006577D7" w:rsidRDefault="006577D7" w:rsidP="006577D7">
      <w:pPr>
        <w:pStyle w:val="BlockText"/>
        <w:ind w:left="1440"/>
      </w:pPr>
    </w:p>
    <w:p w:rsidR="006577D7" w:rsidRDefault="006577D7" w:rsidP="006577D7">
      <w:pPr>
        <w:pStyle w:val="BlockText"/>
        <w:numPr>
          <w:ilvl w:val="1"/>
          <w:numId w:val="30"/>
        </w:numPr>
      </w:pPr>
      <w:r>
        <w:t xml:space="preserve">The 2011 enactment of section 381.0065(5), </w:t>
      </w:r>
      <w:r w:rsidR="00CF37B7">
        <w:t>requiring</w:t>
      </w:r>
      <w:r>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577D7" w:rsidRPr="00BB3CE8" w:rsidRDefault="006577D7" w:rsidP="00CF37B7">
      <w:pPr>
        <w:pStyle w:val="BlockText"/>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Pr="005F17D4"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Pr>
          <w:b/>
          <w:u w:val="single"/>
        </w:rPr>
        <w:t xml:space="preserve"> </w:t>
      </w:r>
      <w:r w:rsidR="00B04E9C">
        <w:t xml:space="preserve">The following </w:t>
      </w:r>
      <w:r>
        <w:t xml:space="preserve">construction-related bills </w:t>
      </w:r>
      <w:r w:rsidR="009C6CE8">
        <w:t xml:space="preserve">passed </w:t>
      </w:r>
      <w:r>
        <w:t>during the 2012 re</w:t>
      </w:r>
      <w:r w:rsidR="00B04E9C">
        <w:t>gular legislative session have become law</w:t>
      </w:r>
      <w:r w:rsidR="002B78B0">
        <w:t xml:space="preserve"> (effective dates and chapter numbers are reflected)</w:t>
      </w:r>
      <w:r>
        <w:t>:</w:t>
      </w:r>
    </w:p>
    <w:p w:rsidR="009C6CE8" w:rsidRDefault="009C6CE8" w:rsidP="00922A6D">
      <w:pPr>
        <w:pStyle w:val="BlockText"/>
        <w:ind w:left="360"/>
      </w:pPr>
    </w:p>
    <w:tbl>
      <w:tblPr>
        <w:tblW w:w="5794" w:type="pct"/>
        <w:jc w:val="center"/>
        <w:tblCellSpacing w:w="0" w:type="dxa"/>
        <w:tblCellMar>
          <w:top w:w="15" w:type="dxa"/>
          <w:left w:w="15" w:type="dxa"/>
          <w:bottom w:w="15" w:type="dxa"/>
          <w:right w:w="15" w:type="dxa"/>
        </w:tblCellMar>
        <w:tblLook w:val="04A0"/>
      </w:tblPr>
      <w:tblGrid>
        <w:gridCol w:w="21"/>
        <w:gridCol w:w="484"/>
        <w:gridCol w:w="725"/>
        <w:gridCol w:w="725"/>
        <w:gridCol w:w="6218"/>
        <w:gridCol w:w="1085"/>
        <w:gridCol w:w="1420"/>
        <w:gridCol w:w="45"/>
        <w:gridCol w:w="45"/>
        <w:gridCol w:w="89"/>
        <w:gridCol w:w="393"/>
      </w:tblGrid>
      <w:tr w:rsidR="00AC560D" w:rsidRPr="00B77996" w:rsidTr="00654846">
        <w:trPr>
          <w:tblCellSpacing w:w="0" w:type="dxa"/>
          <w:jc w:val="center"/>
        </w:trPr>
        <w:tc>
          <w:tcPr>
            <w:tcW w:w="5000" w:type="pct"/>
            <w:gridSpan w:val="11"/>
            <w:tcMar>
              <w:top w:w="30" w:type="dxa"/>
              <w:left w:w="30" w:type="dxa"/>
              <w:bottom w:w="30" w:type="dxa"/>
              <w:right w:w="30" w:type="dxa"/>
            </w:tcMar>
            <w:vAlign w:val="center"/>
            <w:hideMark/>
          </w:tcPr>
          <w:tbl>
            <w:tblPr>
              <w:tblW w:w="5000" w:type="pct"/>
              <w:tblCellSpacing w:w="0" w:type="dxa"/>
              <w:tblCellMar>
                <w:top w:w="15" w:type="dxa"/>
                <w:left w:w="15" w:type="dxa"/>
                <w:bottom w:w="15" w:type="dxa"/>
                <w:right w:w="15" w:type="dxa"/>
              </w:tblCellMar>
              <w:tblLook w:val="04A0"/>
            </w:tblPr>
            <w:tblGrid>
              <w:gridCol w:w="11103"/>
              <w:gridCol w:w="87"/>
            </w:tblGrid>
            <w:tr w:rsidR="00AC560D" w:rsidRPr="00B77996" w:rsidTr="005A74C3">
              <w:trPr>
                <w:tblCellSpacing w:w="0" w:type="dxa"/>
              </w:trPr>
              <w:tc>
                <w:tcPr>
                  <w:tcW w:w="0" w:type="auto"/>
                  <w:shd w:val="clear" w:color="auto" w:fill="003366"/>
                  <w:tcMar>
                    <w:top w:w="30" w:type="dxa"/>
                    <w:left w:w="30" w:type="dxa"/>
                    <w:bottom w:w="30" w:type="dxa"/>
                    <w:right w:w="30" w:type="dxa"/>
                  </w:tcMar>
                  <w:vAlign w:val="center"/>
                  <w:hideMark/>
                </w:tcPr>
                <w:p w:rsidR="00AC560D" w:rsidRPr="00B77996" w:rsidRDefault="00AC560D" w:rsidP="005A74C3">
                  <w:pPr>
                    <w:jc w:val="center"/>
                    <w:rPr>
                      <w:rFonts w:ascii="Arial" w:eastAsia="Times New Roman" w:hAnsi="Arial" w:cs="Arial"/>
                      <w:b/>
                      <w:bCs/>
                      <w:color w:val="FFFFFF"/>
                      <w:sz w:val="20"/>
                      <w:szCs w:val="20"/>
                    </w:rPr>
                  </w:pPr>
                  <w:r w:rsidRPr="00B77996">
                    <w:rPr>
                      <w:rFonts w:ascii="Arial" w:eastAsia="Times New Roman" w:hAnsi="Arial" w:cs="Arial"/>
                      <w:b/>
                      <w:bCs/>
                      <w:color w:val="FFFFFF"/>
                      <w:sz w:val="20"/>
                      <w:szCs w:val="20"/>
                    </w:rPr>
                    <w:t>2012  </w:t>
                  </w:r>
                  <w:r w:rsidR="00E16D83">
                    <w:rPr>
                      <w:rFonts w:ascii="Arial" w:eastAsia="Times New Roman" w:hAnsi="Arial" w:cs="Arial"/>
                      <w:b/>
                      <w:bCs/>
                      <w:color w:val="FFFFFF"/>
                      <w:sz w:val="20"/>
                      <w:szCs w:val="20"/>
                    </w:rPr>
                    <w:t>Construction</w:t>
                  </w:r>
                  <w:r>
                    <w:rPr>
                      <w:rFonts w:ascii="Arial" w:eastAsia="Times New Roman" w:hAnsi="Arial" w:cs="Arial"/>
                      <w:b/>
                      <w:bCs/>
                      <w:color w:val="FFFFFF"/>
                      <w:sz w:val="20"/>
                      <w:szCs w:val="20"/>
                    </w:rPr>
                    <w:t>-related bills that PASSED during the regular session (March 9, 2012)</w:t>
                  </w:r>
                </w:p>
              </w:tc>
              <w:tc>
                <w:tcPr>
                  <w:tcW w:w="0" w:type="auto"/>
                  <w:shd w:val="clear" w:color="auto" w:fill="003366"/>
                  <w:tcMar>
                    <w:top w:w="30" w:type="dxa"/>
                    <w:left w:w="30" w:type="dxa"/>
                    <w:bottom w:w="30" w:type="dxa"/>
                    <w:right w:w="30" w:type="dxa"/>
                  </w:tcMar>
                  <w:vAlign w:val="center"/>
                  <w:hideMark/>
                </w:tcPr>
                <w:p w:rsidR="00AC560D" w:rsidRPr="00B77996" w:rsidRDefault="00AC560D" w:rsidP="005A74C3">
                  <w:pPr>
                    <w:jc w:val="right"/>
                    <w:rPr>
                      <w:rFonts w:ascii="Arial" w:eastAsia="Times New Roman" w:hAnsi="Arial" w:cs="Arial"/>
                      <w:b/>
                      <w:bCs/>
                      <w:color w:val="FFFFFF"/>
                      <w:sz w:val="20"/>
                      <w:szCs w:val="20"/>
                    </w:rPr>
                  </w:pPr>
                </w:p>
              </w:tc>
            </w:tr>
          </w:tbl>
          <w:p w:rsidR="00AC560D" w:rsidRPr="00B77996" w:rsidRDefault="00AC560D" w:rsidP="005A74C3">
            <w:pPr>
              <w:rPr>
                <w:rFonts w:ascii="Arial" w:eastAsia="Times New Roman" w:hAnsi="Arial" w:cs="Arial"/>
                <w:sz w:val="20"/>
                <w:szCs w:val="20"/>
              </w:rPr>
            </w:pPr>
          </w:p>
        </w:tc>
      </w:tr>
      <w:tr w:rsidR="00151720" w:rsidRPr="00B77996" w:rsidTr="00654846">
        <w:trPr>
          <w:tblCellSpacing w:w="0" w:type="dxa"/>
          <w:jc w:val="center"/>
        </w:trPr>
        <w:tc>
          <w:tcPr>
            <w:tcW w:w="224" w:type="pct"/>
            <w:gridSpan w:val="2"/>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Num</w:t>
            </w:r>
          </w:p>
        </w:tc>
        <w:tc>
          <w:tcPr>
            <w:tcW w:w="644" w:type="pct"/>
            <w:gridSpan w:val="2"/>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Title</w:t>
            </w:r>
          </w:p>
        </w:tc>
        <w:tc>
          <w:tcPr>
            <w:tcW w:w="3704" w:type="pct"/>
            <w:gridSpan w:val="3"/>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Sponsor</w:t>
            </w:r>
          </w:p>
        </w:tc>
        <w:tc>
          <w:tcPr>
            <w:tcW w:w="427" w:type="pct"/>
            <w:gridSpan w:val="4"/>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color w:val="000000"/>
                <w:sz w:val="20"/>
                <w:szCs w:val="20"/>
              </w:rPr>
            </w:pPr>
            <w:r w:rsidRPr="00B77996">
              <w:rPr>
                <w:rFonts w:ascii="Arial" w:eastAsia="Times New Roman" w:hAnsi="Arial" w:cs="Arial"/>
                <w:b/>
                <w:bCs/>
                <w:color w:val="000000"/>
                <w:sz w:val="20"/>
                <w:szCs w:val="20"/>
              </w:rPr>
              <w:t> </w:t>
            </w:r>
          </w:p>
        </w:tc>
      </w:tr>
      <w:tr w:rsidR="00151720" w:rsidRPr="00B77996"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20"/>
                <w:szCs w:val="20"/>
              </w:rPr>
            </w:pPr>
            <w:r w:rsidRPr="00B77996">
              <w:rPr>
                <w:rFonts w:ascii="Arial" w:eastAsia="Times New Roman" w:hAnsi="Arial" w:cs="Arial"/>
                <w:color w:val="003366"/>
                <w:sz w:val="20"/>
                <w:szCs w:val="20"/>
                <w:u w:val="single"/>
              </w:rPr>
              <w:t>HB 0013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b/>
                <w:bCs/>
                <w:sz w:val="20"/>
                <w:szCs w:val="20"/>
              </w:rPr>
            </w:pPr>
            <w:r w:rsidRPr="00B77996">
              <w:rPr>
                <w:rFonts w:ascii="Arial" w:eastAsia="Times New Roman" w:hAnsi="Arial" w:cs="Arial"/>
                <w:b/>
                <w:bCs/>
                <w:sz w:val="20"/>
                <w:szCs w:val="20"/>
              </w:rPr>
              <w:t>Relating to Sovereignty Submerged Lands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20"/>
                <w:szCs w:val="20"/>
              </w:rPr>
            </w:pPr>
            <w:r w:rsidRPr="00B77996">
              <w:rPr>
                <w:rFonts w:ascii="Arial" w:eastAsia="Times New Roman" w:hAnsi="Arial" w:cs="Arial"/>
                <w:color w:val="003366"/>
                <w:sz w:val="20"/>
                <w:szCs w:val="20"/>
                <w:u w:val="single"/>
              </w:rPr>
              <w:t>Frishe</w:t>
            </w:r>
            <w:r w:rsidRPr="00B77996">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2B78B0" w:rsidRPr="00B77996" w:rsidRDefault="002B78B0" w:rsidP="005A74C3">
            <w:pPr>
              <w:rPr>
                <w:rFonts w:ascii="Arial" w:eastAsia="Times New Roman" w:hAnsi="Arial" w:cs="Arial"/>
                <w:sz w:val="20"/>
                <w:szCs w:val="20"/>
              </w:rPr>
            </w:pPr>
            <w:r>
              <w:rPr>
                <w:rFonts w:ascii="Arial" w:eastAsia="Times New Roman" w:hAnsi="Arial" w:cs="Arial"/>
                <w:sz w:val="20"/>
                <w:szCs w:val="20"/>
              </w:rPr>
              <w:t xml:space="preserve">2012-202 </w:t>
            </w:r>
          </w:p>
        </w:tc>
      </w:tr>
      <w:tr w:rsidR="00AC560D" w:rsidRPr="00B77996" w:rsidTr="00654846">
        <w:trPr>
          <w:tblCellSpacing w:w="0" w:type="dxa"/>
          <w:jc w:val="center"/>
        </w:trPr>
        <w:tc>
          <w:tcPr>
            <w:tcW w:w="224" w:type="pct"/>
            <w:gridSpan w:val="2"/>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B77996" w:rsidRDefault="00AC560D" w:rsidP="005A74C3">
            <w:pPr>
              <w:rPr>
                <w:rFonts w:ascii="Arial" w:eastAsia="Times New Roman" w:hAnsi="Arial" w:cs="Arial"/>
                <w:sz w:val="15"/>
                <w:szCs w:val="15"/>
              </w:rPr>
            </w:pPr>
            <w:r w:rsidRPr="00B77996">
              <w:rPr>
                <w:rFonts w:ascii="Arial" w:eastAsia="Times New Roman" w:hAnsi="Arial" w:cs="Arial"/>
                <w:sz w:val="15"/>
                <w:szCs w:val="15"/>
              </w:rPr>
              <w:t>Sovereignty Submerged Lands; Provides for lease of sovereignty submerged lands for private residential single-family docks &amp; piers, private residential multifamily docks &amp; piers, &amp; private residential multislip docks; provides for term of lease &amp; lease fees; provides for inspection of such docks, piers, &amp; related structures by DEP; clarifies authority of Board of Trustees of the Internal Improvement Trust Fund &amp; DEP to impose additional fees &amp; requirements; provides appropriation. APPROPRIATION: $1,000,000 Effective Date: July 1, 2012</w:t>
            </w:r>
          </w:p>
        </w:tc>
      </w:tr>
      <w:tr w:rsidR="00151720" w:rsidRPr="009B5E4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HB 0387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b/>
                <w:bCs/>
                <w:sz w:val="20"/>
                <w:szCs w:val="20"/>
              </w:rPr>
            </w:pPr>
            <w:r w:rsidRPr="009B5E4E">
              <w:rPr>
                <w:rFonts w:ascii="Arial" w:eastAsia="Times New Roman" w:hAnsi="Arial" w:cs="Arial"/>
                <w:b/>
                <w:bCs/>
                <w:sz w:val="20"/>
                <w:szCs w:val="20"/>
              </w:rPr>
              <w:t>Relating to Electronic Filing of Construction Plans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Ahern</w:t>
            </w:r>
            <w:r w:rsidRPr="009B5E4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5E4E" w:rsidRDefault="002B78B0" w:rsidP="005A74C3">
            <w:pPr>
              <w:rPr>
                <w:rFonts w:ascii="Arial" w:eastAsia="Times New Roman" w:hAnsi="Arial" w:cs="Arial"/>
                <w:sz w:val="20"/>
                <w:szCs w:val="20"/>
              </w:rPr>
            </w:pPr>
            <w:r>
              <w:rPr>
                <w:rFonts w:ascii="Arial" w:eastAsia="Times New Roman" w:hAnsi="Arial" w:cs="Arial"/>
                <w:sz w:val="20"/>
                <w:szCs w:val="20"/>
              </w:rPr>
              <w:t>2012-58</w:t>
            </w:r>
          </w:p>
        </w:tc>
      </w:tr>
      <w:tr w:rsidR="00AC560D" w:rsidRPr="009B5E4E"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r w:rsidRPr="009B5E4E">
              <w:rPr>
                <w:rFonts w:ascii="Arial" w:eastAsia="Times New Roman" w:hAnsi="Arial" w:cs="Arial"/>
                <w:sz w:val="15"/>
                <w:szCs w:val="15"/>
              </w:rPr>
              <w:t>Electronic Filing of Construction Plans: Provides for certain documents to be electronically signed &amp; sealed by licensee &amp; electronically transmitted to building code administrator or building official for approval. Effective Date: July 1, 2012</w:t>
            </w:r>
          </w:p>
        </w:tc>
      </w:tr>
      <w:tr w:rsidR="00151720" w:rsidRPr="009B5E4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HB 0503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b/>
                <w:bCs/>
                <w:sz w:val="20"/>
                <w:szCs w:val="20"/>
              </w:rPr>
            </w:pPr>
            <w:r w:rsidRPr="009B5E4E">
              <w:rPr>
                <w:rFonts w:ascii="Arial" w:eastAsia="Times New Roman" w:hAnsi="Arial" w:cs="Arial"/>
                <w:b/>
                <w:bCs/>
                <w:sz w:val="20"/>
                <w:szCs w:val="20"/>
              </w:rPr>
              <w:t>Relating to Environmental Regulation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20"/>
                <w:szCs w:val="20"/>
              </w:rPr>
            </w:pPr>
            <w:r w:rsidRPr="009B5E4E">
              <w:rPr>
                <w:rFonts w:ascii="Arial" w:eastAsia="Times New Roman" w:hAnsi="Arial" w:cs="Arial"/>
                <w:color w:val="003366"/>
                <w:sz w:val="20"/>
                <w:szCs w:val="20"/>
                <w:u w:val="single"/>
              </w:rPr>
              <w:t>Patronis</w:t>
            </w:r>
            <w:r w:rsidRPr="009B5E4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5E4E" w:rsidRDefault="002B78B0" w:rsidP="005A74C3">
            <w:pPr>
              <w:rPr>
                <w:rFonts w:ascii="Arial" w:eastAsia="Times New Roman" w:hAnsi="Arial" w:cs="Arial"/>
                <w:sz w:val="20"/>
                <w:szCs w:val="20"/>
              </w:rPr>
            </w:pPr>
            <w:r>
              <w:rPr>
                <w:rFonts w:ascii="Arial" w:eastAsia="Times New Roman" w:hAnsi="Arial" w:cs="Arial"/>
                <w:sz w:val="20"/>
                <w:szCs w:val="20"/>
              </w:rPr>
              <w:t>2012-205</w:t>
            </w:r>
          </w:p>
        </w:tc>
      </w:tr>
      <w:tr w:rsidR="00AC560D" w:rsidRPr="009B5E4E"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5E4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9B5E4E" w:rsidRDefault="00AC560D" w:rsidP="009C6CE8">
            <w:pPr>
              <w:jc w:val="both"/>
              <w:rPr>
                <w:rFonts w:ascii="Arial" w:eastAsia="Times New Roman" w:hAnsi="Arial" w:cs="Arial"/>
                <w:sz w:val="15"/>
                <w:szCs w:val="15"/>
              </w:rPr>
            </w:pPr>
            <w:r w:rsidRPr="009B5E4E">
              <w:rPr>
                <w:rFonts w:ascii="Arial" w:eastAsia="Times New Roman" w:hAnsi="Arial" w:cs="Arial"/>
                <w:sz w:val="15"/>
                <w:szCs w:val="15"/>
              </w:rPr>
              <w:t>Environmental Regulation: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stormwater management systems, coastal construction, dredge &amp; fill activities, intermodal logistics centers &amp; commercial &amp; industrial development; sanitary program surveys of certain water systems; innocent victim petroleum storage system restoration, ambient air quality &amp; water quality standards, &amp; solid waste disposal; sale of unblended gasoline for certain uses; exemption from payment to authorizing agencies for use of certain extensions; provides 2-year permit extension. Effective Date: July 1, 2012</w:t>
            </w:r>
          </w:p>
        </w:tc>
      </w:tr>
      <w:tr w:rsidR="00151720" w:rsidRPr="003D39E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20"/>
                <w:szCs w:val="20"/>
              </w:rPr>
            </w:pPr>
            <w:r w:rsidRPr="003D39E2">
              <w:rPr>
                <w:rFonts w:ascii="Arial" w:eastAsia="Times New Roman" w:hAnsi="Arial" w:cs="Arial"/>
                <w:color w:val="003366"/>
                <w:sz w:val="20"/>
                <w:szCs w:val="20"/>
                <w:u w:val="single"/>
              </w:rPr>
              <w:t>HB 0517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b/>
                <w:bCs/>
                <w:sz w:val="20"/>
                <w:szCs w:val="20"/>
              </w:rPr>
            </w:pPr>
            <w:r w:rsidRPr="003D39E2">
              <w:rPr>
                <w:rFonts w:ascii="Arial" w:eastAsia="Times New Roman" w:hAnsi="Arial" w:cs="Arial"/>
                <w:b/>
                <w:bCs/>
                <w:sz w:val="20"/>
                <w:szCs w:val="20"/>
              </w:rPr>
              <w:t>Relating to Reducing and Streamlining Regulations</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20"/>
                <w:szCs w:val="20"/>
              </w:rPr>
            </w:pPr>
            <w:r w:rsidRPr="003D39E2">
              <w:rPr>
                <w:rFonts w:ascii="Arial" w:eastAsia="Times New Roman" w:hAnsi="Arial" w:cs="Arial"/>
                <w:color w:val="003366"/>
                <w:sz w:val="20"/>
                <w:szCs w:val="20"/>
                <w:u w:val="single"/>
              </w:rPr>
              <w:t>Grant</w:t>
            </w:r>
            <w:r w:rsidRPr="003D39E2">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3D39E2" w:rsidRDefault="002B78B0" w:rsidP="005A74C3">
            <w:pPr>
              <w:rPr>
                <w:rFonts w:ascii="Arial" w:eastAsia="Times New Roman" w:hAnsi="Arial" w:cs="Arial"/>
                <w:sz w:val="20"/>
                <w:szCs w:val="20"/>
              </w:rPr>
            </w:pPr>
            <w:r>
              <w:rPr>
                <w:rFonts w:ascii="Arial" w:eastAsia="Times New Roman" w:hAnsi="Arial" w:cs="Arial"/>
                <w:sz w:val="20"/>
                <w:szCs w:val="20"/>
              </w:rPr>
              <w:t>2012-61</w:t>
            </w:r>
          </w:p>
        </w:tc>
      </w:tr>
      <w:tr w:rsidR="00AC560D" w:rsidRPr="003D39E2" w:rsidTr="00654846">
        <w:trPr>
          <w:tblCellSpacing w:w="0" w:type="dxa"/>
          <w:jc w:val="center"/>
        </w:trPr>
        <w:tc>
          <w:tcPr>
            <w:tcW w:w="224" w:type="pct"/>
            <w:gridSpan w:val="2"/>
            <w:tcMar>
              <w:top w:w="30" w:type="dxa"/>
              <w:left w:w="30" w:type="dxa"/>
              <w:bottom w:w="30" w:type="dxa"/>
              <w:right w:w="30" w:type="dxa"/>
            </w:tcMar>
            <w:vAlign w:val="center"/>
            <w:hideMark/>
          </w:tcPr>
          <w:p w:rsidR="00AC560D" w:rsidRPr="003D39E2"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3D39E2" w:rsidRDefault="00AC560D" w:rsidP="002B78B0">
            <w:pPr>
              <w:ind w:right="-438"/>
              <w:jc w:val="both"/>
              <w:rPr>
                <w:rFonts w:ascii="Arial" w:eastAsia="Times New Roman" w:hAnsi="Arial" w:cs="Arial"/>
                <w:sz w:val="15"/>
                <w:szCs w:val="15"/>
              </w:rPr>
            </w:pPr>
            <w:r w:rsidRPr="003D39E2">
              <w:rPr>
                <w:rFonts w:ascii="Arial" w:eastAsia="Times New Roman" w:hAnsi="Arial" w:cs="Arial"/>
                <w:sz w:val="15"/>
                <w:szCs w:val="15"/>
              </w:rPr>
              <w:t>Reducing and Streamlining Regulations: Requires certain appraisers to follow specific standards of professional practice in appraisals involving restoration of Lake Apopka Basin; waives initial licensing, application, &amp; unlicensed activity fees for certain military veterans; revises certain licensure requirements &amp; continuing education requirements for reactivating license, certificate, or registration to practice certain professions &amp; occupations regulated by DBPR or board or council within DBPR, including community association management, employee leasing, home inspection, mold-related services, real estate appraisal, cosmetology, architecture &amp; interior design, landscape architecture, construction contracting, &amp; electrical &amp; alarm system contracting; provides exemption from licensure as asbestos consultant or contractor for activities involving pipe or conduit used for gas service, etc. Effective Date: July 1, 2012</w:t>
            </w:r>
          </w:p>
        </w:tc>
      </w:tr>
      <w:tr w:rsidR="00151720" w:rsidRPr="009B407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20"/>
                <w:szCs w:val="20"/>
              </w:rPr>
            </w:pPr>
            <w:r w:rsidRPr="009B407C">
              <w:rPr>
                <w:rFonts w:ascii="Arial" w:eastAsia="Times New Roman" w:hAnsi="Arial" w:cs="Arial"/>
                <w:color w:val="003366"/>
                <w:sz w:val="20"/>
                <w:szCs w:val="20"/>
                <w:u w:val="single"/>
              </w:rPr>
              <w:t>HB 0521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b/>
                <w:bCs/>
                <w:sz w:val="20"/>
                <w:szCs w:val="20"/>
              </w:rPr>
            </w:pPr>
            <w:r w:rsidRPr="009B407C">
              <w:rPr>
                <w:rFonts w:ascii="Arial" w:eastAsia="Times New Roman" w:hAnsi="Arial" w:cs="Arial"/>
                <w:b/>
                <w:bCs/>
                <w:sz w:val="20"/>
                <w:szCs w:val="20"/>
              </w:rPr>
              <w:t>Relating to State Preemption of the Regulation of Hoisting Equipment</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20"/>
                <w:szCs w:val="20"/>
              </w:rPr>
            </w:pPr>
            <w:r w:rsidRPr="009B407C">
              <w:rPr>
                <w:rFonts w:ascii="Arial" w:eastAsia="Times New Roman" w:hAnsi="Arial" w:cs="Arial"/>
                <w:color w:val="003366"/>
                <w:sz w:val="20"/>
                <w:szCs w:val="20"/>
                <w:u w:val="single"/>
              </w:rPr>
              <w:t>Artiles</w:t>
            </w:r>
            <w:r w:rsidRPr="009B407C">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9B407C" w:rsidRDefault="002B78B0" w:rsidP="005A74C3">
            <w:pPr>
              <w:rPr>
                <w:rFonts w:ascii="Arial" w:eastAsia="Times New Roman" w:hAnsi="Arial" w:cs="Arial"/>
                <w:sz w:val="20"/>
                <w:szCs w:val="20"/>
              </w:rPr>
            </w:pPr>
            <w:r>
              <w:rPr>
                <w:rFonts w:ascii="Arial" w:eastAsia="Times New Roman" w:hAnsi="Arial" w:cs="Arial"/>
                <w:sz w:val="20"/>
                <w:szCs w:val="20"/>
              </w:rPr>
              <w:t>2012-62</w:t>
            </w:r>
          </w:p>
        </w:tc>
      </w:tr>
      <w:tr w:rsidR="00AC560D" w:rsidRPr="009B407C" w:rsidTr="00654846">
        <w:trPr>
          <w:tblCellSpacing w:w="0" w:type="dxa"/>
          <w:jc w:val="center"/>
        </w:trPr>
        <w:tc>
          <w:tcPr>
            <w:tcW w:w="224" w:type="pct"/>
            <w:gridSpan w:val="2"/>
            <w:tcMar>
              <w:top w:w="30" w:type="dxa"/>
              <w:left w:w="30" w:type="dxa"/>
              <w:bottom w:w="30" w:type="dxa"/>
              <w:right w:w="30" w:type="dxa"/>
            </w:tcMar>
            <w:vAlign w:val="center"/>
            <w:hideMark/>
          </w:tcPr>
          <w:p w:rsidR="00AC560D" w:rsidRPr="009B407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5A74C3">
            <w:pPr>
              <w:rPr>
                <w:rFonts w:ascii="Arial" w:eastAsia="Times New Roman" w:hAnsi="Arial" w:cs="Arial"/>
                <w:sz w:val="15"/>
                <w:szCs w:val="15"/>
              </w:rPr>
            </w:pPr>
            <w:r w:rsidRPr="009B407C">
              <w:rPr>
                <w:rFonts w:ascii="Arial" w:eastAsia="Times New Roman" w:hAnsi="Arial" w:cs="Arial"/>
                <w:sz w:val="15"/>
                <w:szCs w:val="15"/>
              </w:rPr>
              <w:t>State Preemption of the Regulation of Hoisting Equipment: Preempts to state regulation of certain hoisting equipment; provides that act does not apply to regulation of elevators or to airspace height restrictions. Effective Date: upon becoming a law</w:t>
            </w:r>
          </w:p>
          <w:p w:rsidR="008D5528" w:rsidRPr="009B407C" w:rsidRDefault="008D5528" w:rsidP="005A74C3">
            <w:pPr>
              <w:rPr>
                <w:rFonts w:ascii="Arial" w:eastAsia="Times New Roman" w:hAnsi="Arial" w:cs="Arial"/>
                <w:sz w:val="15"/>
                <w:szCs w:val="15"/>
              </w:rPr>
            </w:pPr>
          </w:p>
        </w:tc>
      </w:tr>
      <w:tr w:rsidR="00151720" w:rsidRPr="00553743"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20"/>
                <w:szCs w:val="20"/>
              </w:rPr>
            </w:pPr>
            <w:r w:rsidRPr="00553743">
              <w:rPr>
                <w:rFonts w:ascii="Arial" w:eastAsia="Times New Roman" w:hAnsi="Arial" w:cs="Arial"/>
                <w:color w:val="003366"/>
                <w:sz w:val="20"/>
                <w:szCs w:val="20"/>
                <w:u w:val="single"/>
              </w:rPr>
              <w:t>HB 0639</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b/>
                <w:bCs/>
                <w:sz w:val="20"/>
                <w:szCs w:val="20"/>
              </w:rPr>
            </w:pPr>
            <w:r w:rsidRPr="00553743">
              <w:rPr>
                <w:rFonts w:ascii="Arial" w:eastAsia="Times New Roman" w:hAnsi="Arial" w:cs="Arial"/>
                <w:b/>
                <w:bCs/>
                <w:sz w:val="20"/>
                <w:szCs w:val="20"/>
              </w:rPr>
              <w:t>Relating to Reclaimed Water</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20"/>
                <w:szCs w:val="20"/>
              </w:rPr>
            </w:pPr>
            <w:r w:rsidRPr="00553743">
              <w:rPr>
                <w:rFonts w:ascii="Arial" w:eastAsia="Times New Roman" w:hAnsi="Arial" w:cs="Arial"/>
                <w:color w:val="003366"/>
                <w:sz w:val="20"/>
                <w:szCs w:val="20"/>
                <w:u w:val="single"/>
              </w:rPr>
              <w:t>Young</w:t>
            </w:r>
            <w:r w:rsidRPr="00553743">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2B78B0" w:rsidRPr="00553743" w:rsidRDefault="002B78B0" w:rsidP="005A74C3">
            <w:pPr>
              <w:rPr>
                <w:rFonts w:ascii="Arial" w:eastAsia="Times New Roman" w:hAnsi="Arial" w:cs="Arial"/>
                <w:sz w:val="20"/>
                <w:szCs w:val="20"/>
              </w:rPr>
            </w:pPr>
            <w:r>
              <w:rPr>
                <w:rFonts w:ascii="Arial" w:eastAsia="Times New Roman" w:hAnsi="Arial" w:cs="Arial"/>
                <w:sz w:val="20"/>
                <w:szCs w:val="20"/>
              </w:rPr>
              <w:t>2012-150</w:t>
            </w:r>
          </w:p>
        </w:tc>
      </w:tr>
      <w:tr w:rsidR="00AC560D" w:rsidRPr="00553743" w:rsidTr="00654846">
        <w:trPr>
          <w:tblCellSpacing w:w="0" w:type="dxa"/>
          <w:jc w:val="center"/>
        </w:trPr>
        <w:tc>
          <w:tcPr>
            <w:tcW w:w="224" w:type="pct"/>
            <w:gridSpan w:val="2"/>
            <w:tcMar>
              <w:top w:w="30" w:type="dxa"/>
              <w:left w:w="30" w:type="dxa"/>
              <w:bottom w:w="30" w:type="dxa"/>
              <w:right w:w="30" w:type="dxa"/>
            </w:tcMar>
            <w:vAlign w:val="center"/>
            <w:hideMark/>
          </w:tcPr>
          <w:p w:rsidR="00AC560D" w:rsidRPr="00553743"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2B78B0" w:rsidRPr="00553743" w:rsidRDefault="00AC560D" w:rsidP="008D5528">
            <w:pPr>
              <w:jc w:val="both"/>
              <w:rPr>
                <w:rFonts w:ascii="Arial" w:eastAsia="Times New Roman" w:hAnsi="Arial" w:cs="Arial"/>
                <w:sz w:val="15"/>
                <w:szCs w:val="15"/>
              </w:rPr>
            </w:pPr>
            <w:r w:rsidRPr="00553743">
              <w:rPr>
                <w:rFonts w:ascii="Arial" w:eastAsia="Times New Roman" w:hAnsi="Arial" w:cs="Arial"/>
                <w:sz w:val="15"/>
                <w:szCs w:val="15"/>
              </w:rPr>
              <w:t>Reclaimed Water: Provides legislative findings relating to use of reclaimed water; provides that reclaimed water is eligible for alternative water supply funding; authorizes specified contract provisions for development of reclaimed water as alternative water supply; prohibits exclusion of reclaimed water use in regional water supply planning; prohibits water management districts from requiring permits for use of reclaimed water &amp; from requiring or restricting services provided by reuse utilities; requires DEP &amp; each water management district to initiate rulemaking to adopt specified revisions to water resource implementation rule. Effective Date: July 1, 2012</w:t>
            </w:r>
          </w:p>
        </w:tc>
      </w:tr>
      <w:tr w:rsidR="00151720" w:rsidRPr="00C07BE6"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20"/>
                <w:szCs w:val="20"/>
              </w:rPr>
            </w:pPr>
            <w:r w:rsidRPr="00C07BE6">
              <w:rPr>
                <w:rFonts w:ascii="Arial" w:eastAsia="Times New Roman" w:hAnsi="Arial" w:cs="Arial"/>
                <w:color w:val="003366"/>
                <w:sz w:val="20"/>
                <w:szCs w:val="20"/>
                <w:u w:val="single"/>
              </w:rPr>
              <w:t>HB 0693</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b/>
                <w:bCs/>
                <w:sz w:val="20"/>
                <w:szCs w:val="20"/>
              </w:rPr>
            </w:pPr>
            <w:r w:rsidRPr="00C07BE6">
              <w:rPr>
                <w:rFonts w:ascii="Arial" w:eastAsia="Times New Roman" w:hAnsi="Arial" w:cs="Arial"/>
                <w:b/>
                <w:bCs/>
                <w:sz w:val="20"/>
                <w:szCs w:val="20"/>
              </w:rPr>
              <w:t>Relating to Business and Professional Regulation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20"/>
                <w:szCs w:val="20"/>
              </w:rPr>
            </w:pPr>
            <w:r w:rsidRPr="00C07BE6">
              <w:rPr>
                <w:rFonts w:ascii="Arial" w:eastAsia="Times New Roman" w:hAnsi="Arial" w:cs="Arial"/>
                <w:color w:val="003366"/>
                <w:sz w:val="20"/>
                <w:szCs w:val="20"/>
                <w:u w:val="single"/>
              </w:rPr>
              <w:t>Ingram</w:t>
            </w:r>
            <w:r w:rsidRPr="00C07BE6">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2B78B0" w:rsidRDefault="00AC560D" w:rsidP="005A74C3">
            <w:pPr>
              <w:rPr>
                <w:rFonts w:ascii="Arial" w:eastAsia="Times New Roman" w:hAnsi="Arial" w:cs="Arial"/>
                <w:bCs/>
                <w:sz w:val="20"/>
                <w:szCs w:val="20"/>
              </w:rPr>
            </w:pPr>
          </w:p>
          <w:p w:rsidR="002B78B0" w:rsidRPr="00C07BE6" w:rsidRDefault="002B78B0" w:rsidP="005A74C3">
            <w:pPr>
              <w:rPr>
                <w:rFonts w:ascii="Arial" w:eastAsia="Times New Roman" w:hAnsi="Arial" w:cs="Arial"/>
                <w:sz w:val="20"/>
                <w:szCs w:val="20"/>
              </w:rPr>
            </w:pPr>
            <w:r w:rsidRPr="002B78B0">
              <w:rPr>
                <w:rFonts w:ascii="Arial" w:eastAsia="Times New Roman" w:hAnsi="Arial" w:cs="Arial"/>
                <w:bCs/>
                <w:sz w:val="20"/>
                <w:szCs w:val="20"/>
              </w:rPr>
              <w:t>2012-208</w:t>
            </w:r>
          </w:p>
        </w:tc>
      </w:tr>
      <w:tr w:rsidR="00AC560D" w:rsidRPr="00C07BE6" w:rsidTr="00654846">
        <w:trPr>
          <w:tblCellSpacing w:w="0" w:type="dxa"/>
          <w:jc w:val="center"/>
        </w:trPr>
        <w:tc>
          <w:tcPr>
            <w:tcW w:w="224" w:type="pct"/>
            <w:gridSpan w:val="2"/>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C07BE6" w:rsidRDefault="00AC560D" w:rsidP="005A74C3">
            <w:pPr>
              <w:rPr>
                <w:rFonts w:ascii="Arial" w:eastAsia="Times New Roman" w:hAnsi="Arial" w:cs="Arial"/>
                <w:sz w:val="15"/>
                <w:szCs w:val="15"/>
              </w:rPr>
            </w:pPr>
            <w:r w:rsidRPr="00C07BE6">
              <w:rPr>
                <w:rFonts w:ascii="Arial" w:eastAsia="Times New Roman" w:hAnsi="Arial" w:cs="Arial"/>
                <w:sz w:val="15"/>
                <w:szCs w:val="15"/>
              </w:rPr>
              <w:t>Business and Professional Regulation: Deletes provision requiring business &amp; nonmedical professional licensees of DBPR to complete licensure cycle on active status before returning to inactive status. Effective Date: July 1, 2012</w:t>
            </w:r>
          </w:p>
        </w:tc>
      </w:tr>
      <w:tr w:rsidR="00151720" w:rsidRPr="004E419E"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20"/>
                <w:szCs w:val="20"/>
              </w:rPr>
            </w:pPr>
            <w:r w:rsidRPr="004E419E">
              <w:rPr>
                <w:rFonts w:ascii="Arial" w:eastAsia="Times New Roman" w:hAnsi="Arial" w:cs="Arial"/>
                <w:color w:val="003366"/>
                <w:sz w:val="20"/>
                <w:szCs w:val="20"/>
                <w:u w:val="single"/>
              </w:rPr>
              <w:t>SB 0704</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b/>
                <w:bCs/>
                <w:sz w:val="20"/>
                <w:szCs w:val="20"/>
              </w:rPr>
            </w:pPr>
            <w:r w:rsidRPr="004E419E">
              <w:rPr>
                <w:rFonts w:ascii="Arial" w:eastAsia="Times New Roman" w:hAnsi="Arial" w:cs="Arial"/>
                <w:b/>
                <w:bCs/>
                <w:sz w:val="20"/>
                <w:szCs w:val="20"/>
              </w:rPr>
              <w:t>Relating to Building Construction and Inspection</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20"/>
                <w:szCs w:val="20"/>
              </w:rPr>
            </w:pPr>
            <w:r w:rsidRPr="004E419E">
              <w:rPr>
                <w:rFonts w:ascii="Arial" w:eastAsia="Times New Roman" w:hAnsi="Arial" w:cs="Arial"/>
                <w:color w:val="003366"/>
                <w:sz w:val="20"/>
                <w:szCs w:val="20"/>
                <w:u w:val="single"/>
              </w:rPr>
              <w:t>Bennett</w:t>
            </w:r>
            <w:r w:rsidRPr="004E419E">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4E419E" w:rsidRDefault="00151720" w:rsidP="005A74C3">
            <w:pPr>
              <w:rPr>
                <w:rFonts w:ascii="Arial" w:eastAsia="Times New Roman" w:hAnsi="Arial" w:cs="Arial"/>
                <w:sz w:val="20"/>
                <w:szCs w:val="20"/>
              </w:rPr>
            </w:pPr>
            <w:r>
              <w:rPr>
                <w:rFonts w:ascii="Arial" w:eastAsia="Times New Roman" w:hAnsi="Arial" w:cs="Arial"/>
                <w:sz w:val="20"/>
                <w:szCs w:val="20"/>
              </w:rPr>
              <w:t>2012-13</w:t>
            </w:r>
          </w:p>
        </w:tc>
      </w:tr>
      <w:tr w:rsidR="00AC560D" w:rsidRPr="004E419E" w:rsidTr="00654846">
        <w:trPr>
          <w:tblCellSpacing w:w="0" w:type="dxa"/>
          <w:jc w:val="center"/>
        </w:trPr>
        <w:tc>
          <w:tcPr>
            <w:tcW w:w="224" w:type="pct"/>
            <w:gridSpan w:val="2"/>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4E419E" w:rsidRDefault="00AC560D" w:rsidP="005A74C3">
            <w:pPr>
              <w:rPr>
                <w:rFonts w:ascii="Arial" w:eastAsia="Times New Roman" w:hAnsi="Arial" w:cs="Arial"/>
                <w:sz w:val="15"/>
                <w:szCs w:val="15"/>
              </w:rPr>
            </w:pPr>
            <w:r w:rsidRPr="004E419E">
              <w:rPr>
                <w:rFonts w:ascii="Arial" w:eastAsia="Times New Roman" w:hAnsi="Arial" w:cs="Arial"/>
                <w:sz w:val="15"/>
                <w:szCs w:val="15"/>
              </w:rPr>
              <w:t>Building Construction and Inspection; Revising the authorized methods of sending notices to violators of local codes; requiring a county or municipality, a department or agency of the state, a county, or a municipality, or any other public body or institution to open a sealed bid and announce the name of each bidder and the price submitted in the bid at a public meeting and make such information available upon request; authorizing a building code administrator or building official to approve the electronic filing of building plans and related documents, etc. Effective Date: except as otherwise expressly provided in this act and except for section 20, which shall take effect upon this act becoming a law, this act shall take effect July 1, 2012</w:t>
            </w:r>
          </w:p>
        </w:tc>
      </w:tr>
      <w:tr w:rsidR="00654846" w:rsidRPr="00CA7B7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20"/>
                <w:szCs w:val="20"/>
              </w:rPr>
            </w:pPr>
            <w:r w:rsidRPr="00CA7B7C">
              <w:rPr>
                <w:rFonts w:ascii="Arial" w:eastAsia="Times New Roman" w:hAnsi="Arial" w:cs="Arial"/>
                <w:color w:val="003366"/>
                <w:sz w:val="20"/>
                <w:szCs w:val="20"/>
                <w:u w:val="single"/>
              </w:rPr>
              <w:t>HB 0729</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b/>
                <w:bCs/>
                <w:sz w:val="20"/>
                <w:szCs w:val="20"/>
              </w:rPr>
            </w:pPr>
            <w:r w:rsidRPr="00CA7B7C">
              <w:rPr>
                <w:rFonts w:ascii="Arial" w:eastAsia="Times New Roman" w:hAnsi="Arial" w:cs="Arial"/>
                <w:b/>
                <w:bCs/>
                <w:sz w:val="20"/>
                <w:szCs w:val="20"/>
              </w:rPr>
              <w:t>Relating to Hiring, Leasing, or Obtaining Personal Property or Equipment with Intent to Defraud</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20"/>
                <w:szCs w:val="20"/>
              </w:rPr>
            </w:pPr>
            <w:r w:rsidRPr="00CA7B7C">
              <w:rPr>
                <w:rFonts w:ascii="Arial" w:eastAsia="Times New Roman" w:hAnsi="Arial" w:cs="Arial"/>
                <w:color w:val="003366"/>
                <w:sz w:val="20"/>
                <w:szCs w:val="20"/>
                <w:u w:val="single"/>
              </w:rPr>
              <w:t>Pilon</w:t>
            </w:r>
            <w:r w:rsidRPr="00CA7B7C">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CA7B7C" w:rsidRDefault="00151720" w:rsidP="005A74C3">
            <w:pPr>
              <w:rPr>
                <w:rFonts w:ascii="Arial" w:eastAsia="Times New Roman" w:hAnsi="Arial" w:cs="Arial"/>
                <w:sz w:val="20"/>
                <w:szCs w:val="20"/>
              </w:rPr>
            </w:pPr>
            <w:r>
              <w:rPr>
                <w:rFonts w:ascii="Arial" w:eastAsia="Times New Roman" w:hAnsi="Arial" w:cs="Arial"/>
                <w:sz w:val="20"/>
                <w:szCs w:val="20"/>
              </w:rPr>
              <w:t>2012-210</w:t>
            </w:r>
          </w:p>
        </w:tc>
      </w:tr>
      <w:tr w:rsidR="00AC560D" w:rsidRPr="00CA7B7C" w:rsidTr="00654846">
        <w:trPr>
          <w:tblCellSpacing w:w="0" w:type="dxa"/>
          <w:jc w:val="center"/>
        </w:trPr>
        <w:tc>
          <w:tcPr>
            <w:tcW w:w="224" w:type="pct"/>
            <w:gridSpan w:val="2"/>
            <w:tcMar>
              <w:top w:w="30" w:type="dxa"/>
              <w:left w:w="30" w:type="dxa"/>
              <w:bottom w:w="30" w:type="dxa"/>
              <w:right w:w="30" w:type="dxa"/>
            </w:tcMar>
            <w:vAlign w:val="center"/>
            <w:hideMark/>
          </w:tcPr>
          <w:p w:rsidR="00AC560D" w:rsidRPr="00CA7B7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CA7B7C" w:rsidRDefault="00AC560D" w:rsidP="00AC560D">
            <w:pPr>
              <w:rPr>
                <w:rFonts w:ascii="Arial" w:eastAsia="Times New Roman" w:hAnsi="Arial" w:cs="Arial"/>
                <w:sz w:val="15"/>
                <w:szCs w:val="15"/>
              </w:rPr>
            </w:pPr>
            <w:r w:rsidRPr="00CA7B7C">
              <w:rPr>
                <w:rFonts w:ascii="Arial" w:eastAsia="Times New Roman" w:hAnsi="Arial" w:cs="Arial"/>
                <w:sz w:val="15"/>
                <w:szCs w:val="15"/>
              </w:rPr>
              <w:t>Hiring, Leasing, or Obtaining Personal Property or Equipment with the Intent to Defraud: Provides that failure to redeliver property or equipment within specified time after receiving demand for return is prima facie evidence of abandonment or refusal to redeliver property or equipment; provides that notice mailed by delivery by courier with tracking capability to address given by renter at time of rental is sufficient &amp; equivalent to notice having been received by renter, if notice is returned undelivered; provides that failure to redeliver property or equipment after rental period expires, &amp; after demand for return is made, is prima facie evidence of abandonment or refusal to redeliver property or equipment; provides that demand for return of overdue property or equipment &amp; for payment of amounts due may be sent by courier service with tracking capability; provides that possession of personal property or equipment by third party does not eliminate lessee's obligation to return such property or equipment according to contract; provides exception when personal property or equipment was obtained without lessee's consent; provides that lessor of vehicle that is not returned at conclusion of lease is entitled to report vehicle as stolen. Effective Date: July 1, 2012</w:t>
            </w:r>
          </w:p>
        </w:tc>
      </w:tr>
      <w:tr w:rsidR="00654846" w:rsidRPr="00A8204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r w:rsidRPr="00A8204C">
              <w:rPr>
                <w:rFonts w:ascii="Arial" w:eastAsia="Times New Roman" w:hAnsi="Arial" w:cs="Arial"/>
                <w:color w:val="003366"/>
                <w:sz w:val="20"/>
                <w:szCs w:val="20"/>
                <w:u w:val="single"/>
              </w:rPr>
              <w:t>HB 0887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b/>
                <w:bCs/>
                <w:sz w:val="20"/>
                <w:szCs w:val="20"/>
              </w:rPr>
            </w:pPr>
            <w:r w:rsidRPr="00A8204C">
              <w:rPr>
                <w:rFonts w:ascii="Arial" w:eastAsia="Times New Roman" w:hAnsi="Arial" w:cs="Arial"/>
                <w:b/>
                <w:bCs/>
                <w:sz w:val="20"/>
                <w:szCs w:val="20"/>
              </w:rPr>
              <w:t>Relating to Business and Professional Regulation</w:t>
            </w:r>
          </w:p>
        </w:tc>
        <w:tc>
          <w:tcPr>
            <w:tcW w:w="0" w:type="auto"/>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r w:rsidRPr="00A8204C">
              <w:rPr>
                <w:rFonts w:ascii="Arial" w:eastAsia="Times New Roman" w:hAnsi="Arial" w:cs="Arial"/>
                <w:color w:val="003366"/>
                <w:sz w:val="20"/>
                <w:szCs w:val="20"/>
                <w:u w:val="single"/>
              </w:rPr>
              <w:t>Ingram</w:t>
            </w:r>
            <w:r w:rsidRPr="00A8204C">
              <w:rPr>
                <w:rFonts w:ascii="Arial" w:eastAsia="Times New Roman" w:hAnsi="Arial" w:cs="Arial"/>
                <w:sz w:val="20"/>
                <w:szCs w:val="20"/>
              </w:rPr>
              <w:t xml:space="preserve"> </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20"/>
                <w:szCs w:val="20"/>
              </w:rPr>
            </w:pP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A8204C" w:rsidRDefault="00151720" w:rsidP="005A74C3">
            <w:pPr>
              <w:rPr>
                <w:rFonts w:ascii="Arial" w:eastAsia="Times New Roman" w:hAnsi="Arial" w:cs="Arial"/>
                <w:sz w:val="20"/>
                <w:szCs w:val="20"/>
              </w:rPr>
            </w:pPr>
            <w:r>
              <w:rPr>
                <w:rFonts w:ascii="Arial" w:eastAsia="Times New Roman" w:hAnsi="Arial" w:cs="Arial"/>
                <w:sz w:val="20"/>
                <w:szCs w:val="20"/>
              </w:rPr>
              <w:t>2012-72</w:t>
            </w:r>
          </w:p>
        </w:tc>
      </w:tr>
      <w:tr w:rsidR="00151720" w:rsidRPr="00A8204C" w:rsidTr="00654846">
        <w:trPr>
          <w:tblCellSpacing w:w="0" w:type="dxa"/>
          <w:jc w:val="center"/>
        </w:trPr>
        <w:tc>
          <w:tcPr>
            <w:tcW w:w="224" w:type="pct"/>
            <w:gridSpan w:val="2"/>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A8204C" w:rsidRDefault="00AC560D" w:rsidP="005A74C3">
            <w:pPr>
              <w:rPr>
                <w:rFonts w:ascii="Arial" w:eastAsia="Times New Roman" w:hAnsi="Arial" w:cs="Arial"/>
                <w:sz w:val="15"/>
                <w:szCs w:val="15"/>
              </w:rPr>
            </w:pPr>
            <w:r w:rsidRPr="00A8204C">
              <w:rPr>
                <w:rFonts w:ascii="Arial" w:eastAsia="Times New Roman" w:hAnsi="Arial" w:cs="Arial"/>
                <w:sz w:val="15"/>
                <w:szCs w:val="15"/>
              </w:rPr>
              <w:t>Business and Professional Regulation: Authorizes credit for sale of tobacco products to be extended to retail dealer under specified conditions; provides for suspension of sale of tobacco products to retail dealers delinquent in their credit payments until certain conditions are met; waives initial licensing, application, &amp; unlicensed activity fees for certain military veterans; revises continuing education provider &amp; course approval procedures; limits to DBPR authority to reinstate license that has become void; provides for certain notices by e-mail; authorizes distance learning courses as acceptable alternative to classroom instruction for renewal of real estate instructor permit; provides that distance learning courses are under discretion of school offering real estate course; requires distance learning courses to adhere to certain requirements; revises definition of terms "appraisal management company" &amp; "appraisal management services"; defines term "subsidiary"; revises requirements for issuance of registration or certification upon receipt of proper documentation; revises provisions relating to titles appraisal management company must be registered to use; provides exemptions from registration requirements; provides additional grounds for discipline of appraisal management companies, to which penalties apply; revises procedures for cosmetology licensure by endorsement; authorizes performance of cosmetology &amp; specialty services in location other than licensed salon; deleting definition of "glass &amp; glazing contractors"; reenacts &amp; revives grandfathering provisions &amp; establishes new deadline for applications for certification of certain registered contractors; deletes exemptions from certain restrictions on specified amateur matches &amp; other events; repeals provisions relating to requirement that each person or club that holds or shows pugilistic matches on closed circuit telecast viewed within state must file certain reports;... Effective Date: October 1, 2012</w:t>
            </w:r>
          </w:p>
        </w:tc>
      </w:tr>
      <w:tr w:rsidR="00151720" w:rsidRPr="00D062AB"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20"/>
                <w:szCs w:val="20"/>
              </w:rPr>
            </w:pPr>
            <w:r w:rsidRPr="00D062AB">
              <w:rPr>
                <w:rFonts w:ascii="Arial" w:eastAsia="Times New Roman" w:hAnsi="Arial" w:cs="Arial"/>
                <w:color w:val="003366"/>
                <w:sz w:val="20"/>
                <w:szCs w:val="20"/>
                <w:u w:val="single"/>
              </w:rPr>
              <w:t>HB 0897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b/>
                <w:bCs/>
                <w:sz w:val="20"/>
                <w:szCs w:val="20"/>
              </w:rPr>
            </w:pPr>
            <w:r w:rsidRPr="00D062AB">
              <w:rPr>
                <w:rFonts w:ascii="Arial" w:eastAsia="Times New Roman" w:hAnsi="Arial" w:cs="Arial"/>
                <w:b/>
                <w:bCs/>
                <w:sz w:val="20"/>
                <w:szCs w:val="20"/>
              </w:rPr>
              <w:t xml:space="preserve">Relating to Construction Contracting </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20"/>
                <w:szCs w:val="20"/>
              </w:rPr>
            </w:pPr>
            <w:r w:rsidRPr="00D062AB">
              <w:rPr>
                <w:rFonts w:ascii="Arial" w:eastAsia="Times New Roman" w:hAnsi="Arial" w:cs="Arial"/>
                <w:color w:val="003366"/>
                <w:sz w:val="20"/>
                <w:szCs w:val="20"/>
                <w:u w:val="single"/>
              </w:rPr>
              <w:t>Moraitis, Jr.</w:t>
            </w:r>
            <w:r w:rsidRPr="00D062AB">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D062AB" w:rsidRDefault="00151720" w:rsidP="005A74C3">
            <w:pPr>
              <w:rPr>
                <w:rFonts w:ascii="Arial" w:eastAsia="Times New Roman" w:hAnsi="Arial" w:cs="Arial"/>
                <w:sz w:val="20"/>
                <w:szCs w:val="20"/>
              </w:rPr>
            </w:pPr>
            <w:r>
              <w:rPr>
                <w:rFonts w:ascii="Arial" w:eastAsia="Times New Roman" w:hAnsi="Arial" w:cs="Arial"/>
                <w:sz w:val="20"/>
                <w:szCs w:val="20"/>
              </w:rPr>
              <w:t>2012-211</w:t>
            </w:r>
          </w:p>
        </w:tc>
      </w:tr>
      <w:tr w:rsidR="00AC560D" w:rsidRPr="00D062AB" w:rsidTr="00654846">
        <w:trPr>
          <w:tblCellSpacing w:w="0" w:type="dxa"/>
          <w:jc w:val="center"/>
        </w:trPr>
        <w:tc>
          <w:tcPr>
            <w:tcW w:w="224" w:type="pct"/>
            <w:gridSpan w:val="2"/>
            <w:tcMar>
              <w:top w:w="30" w:type="dxa"/>
              <w:left w:w="30" w:type="dxa"/>
              <w:bottom w:w="30" w:type="dxa"/>
              <w:right w:w="30" w:type="dxa"/>
            </w:tcMar>
            <w:vAlign w:val="center"/>
            <w:hideMark/>
          </w:tcPr>
          <w:p w:rsidR="00AC560D" w:rsidRPr="00D062AB"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5A74C3">
            <w:pPr>
              <w:rPr>
                <w:rFonts w:ascii="Arial" w:eastAsia="Times New Roman" w:hAnsi="Arial" w:cs="Arial"/>
                <w:sz w:val="15"/>
                <w:szCs w:val="15"/>
              </w:rPr>
            </w:pPr>
            <w:r w:rsidRPr="00D062AB">
              <w:rPr>
                <w:rFonts w:ascii="Arial" w:eastAsia="Times New Roman" w:hAnsi="Arial" w:cs="Arial"/>
                <w:sz w:val="15"/>
                <w:szCs w:val="15"/>
              </w:rPr>
              <w:t>Construction Contracting: Provides that public entity may not make payment to contractor unless entity has received certified copy of bond; provides that part of payment bond furnished for public works contract that limits or expands effective duration of bond or adds conditions precedent is unenforceable; revises bond form provisions &amp; requirements; provides that payment to contractor who has furnished payment bond on public works project may not be conditioned upon production of certain documents if surety has given written consent; provides prerequisites for action against payment bond; requires that public body open sealed bids for competitive solicitation at public meeting; revives grandfathering provisions &amp; sets new deadline by which certain registered contractors may apply for certification; provides that specified notice concerning lessor's liability for liens for improvements made by lessee prohibits liens in certain circumstances; revises provisions relating to service of specified items; specifies requirements for certain written instruments; clarifies applicability of certain provisions. Effective Date: October 1, 2012</w:t>
            </w:r>
          </w:p>
          <w:p w:rsidR="008D5528" w:rsidRPr="00D062AB" w:rsidRDefault="008D5528" w:rsidP="005A74C3">
            <w:pPr>
              <w:rPr>
                <w:rFonts w:ascii="Arial" w:eastAsia="Times New Roman" w:hAnsi="Arial" w:cs="Arial"/>
                <w:sz w:val="15"/>
                <w:szCs w:val="15"/>
              </w:rPr>
            </w:pPr>
          </w:p>
        </w:tc>
      </w:tr>
      <w:tr w:rsidR="00654846" w:rsidRPr="00DD347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20"/>
                <w:szCs w:val="20"/>
              </w:rPr>
            </w:pPr>
            <w:r w:rsidRPr="00DD3472">
              <w:rPr>
                <w:rFonts w:ascii="Arial" w:eastAsia="Times New Roman" w:hAnsi="Arial" w:cs="Arial"/>
                <w:color w:val="003366"/>
                <w:sz w:val="20"/>
                <w:szCs w:val="20"/>
                <w:u w:val="single"/>
              </w:rPr>
              <w:t>HB 1089</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b/>
                <w:bCs/>
                <w:sz w:val="20"/>
                <w:szCs w:val="20"/>
              </w:rPr>
            </w:pPr>
            <w:r w:rsidRPr="00DD3472">
              <w:rPr>
                <w:rFonts w:ascii="Arial" w:eastAsia="Times New Roman" w:hAnsi="Arial" w:cs="Arial"/>
                <w:b/>
                <w:bCs/>
                <w:sz w:val="20"/>
                <w:szCs w:val="20"/>
              </w:rPr>
              <w:t xml:space="preserve">Relating to Pub. Rec./Agency Personnel Information </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20"/>
                <w:szCs w:val="20"/>
              </w:rPr>
            </w:pPr>
            <w:r w:rsidRPr="00DD3472">
              <w:rPr>
                <w:rFonts w:ascii="Arial" w:eastAsia="Times New Roman" w:hAnsi="Arial" w:cs="Arial"/>
                <w:color w:val="003366"/>
                <w:sz w:val="20"/>
                <w:szCs w:val="20"/>
                <w:u w:val="single"/>
              </w:rPr>
              <w:t>Adkins</w:t>
            </w:r>
            <w:r w:rsidRPr="00DD3472">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151720" w:rsidP="00151720">
            <w:pPr>
              <w:ind w:right="-158"/>
              <w:rPr>
                <w:rFonts w:ascii="Arial" w:eastAsia="Times New Roman" w:hAnsi="Arial" w:cs="Arial"/>
                <w:sz w:val="20"/>
                <w:szCs w:val="20"/>
              </w:rPr>
            </w:pPr>
            <w:r>
              <w:rPr>
                <w:rFonts w:ascii="Arial" w:eastAsia="Times New Roman" w:hAnsi="Arial" w:cs="Arial"/>
                <w:sz w:val="20"/>
                <w:szCs w:val="20"/>
              </w:rPr>
              <w:t>May 4, 2012</w:t>
            </w:r>
          </w:p>
          <w:p w:rsidR="00151720" w:rsidRPr="00DD3472" w:rsidRDefault="00151720" w:rsidP="00151720">
            <w:pPr>
              <w:ind w:right="-158"/>
              <w:rPr>
                <w:rFonts w:ascii="Arial" w:eastAsia="Times New Roman" w:hAnsi="Arial" w:cs="Arial"/>
                <w:sz w:val="20"/>
                <w:szCs w:val="20"/>
              </w:rPr>
            </w:pPr>
            <w:r>
              <w:rPr>
                <w:rFonts w:ascii="Arial" w:eastAsia="Times New Roman" w:hAnsi="Arial" w:cs="Arial"/>
                <w:sz w:val="20"/>
                <w:szCs w:val="20"/>
              </w:rPr>
              <w:t>2012-214</w:t>
            </w:r>
          </w:p>
        </w:tc>
      </w:tr>
      <w:tr w:rsidR="00654846" w:rsidRPr="00DD3472"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5A74C3"/>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151720" w:rsidRPr="00DD3472" w:rsidRDefault="00151720" w:rsidP="005A74C3">
            <w:pPr>
              <w:rPr>
                <w:rFonts w:ascii="Arial" w:eastAsia="Times New Roman" w:hAnsi="Arial" w:cs="Arial"/>
                <w:b/>
                <w:bCs/>
                <w:sz w:val="20"/>
                <w:szCs w:val="20"/>
              </w:rPr>
            </w:pP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5A74C3"/>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151720" w:rsidRDefault="00151720" w:rsidP="00151720">
            <w:pPr>
              <w:ind w:right="-158"/>
              <w:rPr>
                <w:rFonts w:ascii="Arial" w:eastAsia="Times New Roman" w:hAnsi="Arial" w:cs="Arial"/>
                <w:sz w:val="20"/>
                <w:szCs w:val="20"/>
              </w:rPr>
            </w:pPr>
          </w:p>
        </w:tc>
      </w:tr>
      <w:tr w:rsidR="00AC560D" w:rsidRPr="00DD3472" w:rsidTr="00654846">
        <w:trPr>
          <w:tblCellSpacing w:w="0" w:type="dxa"/>
          <w:jc w:val="center"/>
        </w:trPr>
        <w:tc>
          <w:tcPr>
            <w:tcW w:w="224" w:type="pct"/>
            <w:gridSpan w:val="2"/>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DD3472" w:rsidRDefault="00AC560D" w:rsidP="005A74C3">
            <w:pPr>
              <w:rPr>
                <w:rFonts w:ascii="Arial" w:eastAsia="Times New Roman" w:hAnsi="Arial" w:cs="Arial"/>
                <w:sz w:val="15"/>
                <w:szCs w:val="15"/>
              </w:rPr>
            </w:pPr>
            <w:r w:rsidRPr="00DD3472">
              <w:rPr>
                <w:rFonts w:ascii="Arial" w:eastAsia="Times New Roman" w:hAnsi="Arial" w:cs="Arial"/>
                <w:sz w:val="15"/>
                <w:szCs w:val="15"/>
              </w:rPr>
              <w:t>Pub. Rec./Agency Personnel Information: Provides exemption from public records requirements for personal identifying &amp; location information of current &amp; former investigators &amp; inspectors of DBPR &amp; spouses &amp; children of such investigators &amp; inspectors; provides condition to exemption; provides for future review &amp; repeal of exemption; provides exemption from public record requirements for personal identifying &amp; location information of county tax collectors &amp; spouses &amp; children of such tax collectors; provides condition to exemption; provides for future review &amp; repeal of exemption; provides statement of public necessity. Effective Date: upon becoming a law</w:t>
            </w:r>
          </w:p>
        </w:tc>
      </w:tr>
      <w:tr w:rsidR="00654846" w:rsidRPr="006D53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HB 0937</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b/>
                <w:bCs/>
                <w:sz w:val="20"/>
                <w:szCs w:val="20"/>
              </w:rPr>
            </w:pPr>
            <w:r>
              <w:rPr>
                <w:rFonts w:ascii="Arial" w:eastAsia="Times New Roman" w:hAnsi="Arial" w:cs="Arial"/>
                <w:b/>
                <w:bCs/>
                <w:sz w:val="20"/>
                <w:szCs w:val="20"/>
              </w:rPr>
              <w:t xml:space="preserve">Relating to </w:t>
            </w:r>
            <w:r w:rsidR="00AC560D" w:rsidRPr="006D532F">
              <w:rPr>
                <w:rFonts w:ascii="Arial" w:eastAsia="Times New Roman" w:hAnsi="Arial" w:cs="Arial"/>
                <w:b/>
                <w:bCs/>
                <w:sz w:val="20"/>
                <w:szCs w:val="20"/>
              </w:rPr>
              <w:t>Legal Notices</w:t>
            </w:r>
          </w:p>
        </w:tc>
        <w:tc>
          <w:tcPr>
            <w:tcW w:w="0" w:type="auto"/>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sz w:val="20"/>
                <w:szCs w:val="20"/>
              </w:rPr>
            </w:pPr>
            <w:r>
              <w:t xml:space="preserve">                                             </w:t>
            </w:r>
            <w:r w:rsidR="00AC560D" w:rsidRPr="006D532F">
              <w:rPr>
                <w:rFonts w:ascii="Arial" w:eastAsia="Times New Roman" w:hAnsi="Arial" w:cs="Arial"/>
                <w:color w:val="003366"/>
                <w:sz w:val="20"/>
                <w:szCs w:val="20"/>
                <w:u w:val="single"/>
              </w:rPr>
              <w:t>Workman</w:t>
            </w:r>
            <w:r w:rsidR="00AC560D" w:rsidRPr="006D532F">
              <w:rPr>
                <w:rFonts w:ascii="Arial" w:eastAsia="Times New Roman" w:hAnsi="Arial" w:cs="Arial"/>
                <w:sz w:val="20"/>
                <w:szCs w:val="20"/>
              </w:rPr>
              <w:t xml:space="preserve"> </w:t>
            </w:r>
          </w:p>
        </w:tc>
        <w:tc>
          <w:tcPr>
            <w:tcW w:w="1249" w:type="pct"/>
            <w:gridSpan w:val="6"/>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p>
          <w:p w:rsidR="00151720" w:rsidRPr="006D532F" w:rsidRDefault="00151720" w:rsidP="005A74C3">
            <w:pPr>
              <w:rPr>
                <w:rFonts w:ascii="Arial" w:eastAsia="Times New Roman" w:hAnsi="Arial" w:cs="Arial"/>
                <w:sz w:val="20"/>
                <w:szCs w:val="20"/>
              </w:rPr>
            </w:pPr>
            <w:r>
              <w:rPr>
                <w:rFonts w:ascii="Arial" w:eastAsia="Times New Roman" w:hAnsi="Arial" w:cs="Arial"/>
                <w:sz w:val="20"/>
                <w:szCs w:val="20"/>
              </w:rPr>
              <w:t>2012-212</w:t>
            </w:r>
          </w:p>
        </w:tc>
      </w:tr>
      <w:tr w:rsidR="00AC560D" w:rsidRPr="006D53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532F" w:rsidRDefault="00654846" w:rsidP="005A74C3">
            <w:pPr>
              <w:rPr>
                <w:rFonts w:ascii="Arial" w:eastAsia="Times New Roman" w:hAnsi="Arial" w:cs="Arial"/>
                <w:sz w:val="15"/>
                <w:szCs w:val="15"/>
              </w:rPr>
            </w:pPr>
            <w:r>
              <w:rPr>
                <w:rFonts w:ascii="Arial" w:eastAsia="Times New Roman" w:hAnsi="Arial" w:cs="Arial"/>
                <w:sz w:val="15"/>
                <w:szCs w:val="15"/>
              </w:rPr>
              <w:t xml:space="preserve">    </w:t>
            </w:r>
          </w:p>
        </w:tc>
        <w:tc>
          <w:tcPr>
            <w:tcW w:w="4776" w:type="pct"/>
            <w:gridSpan w:val="9"/>
            <w:tcMar>
              <w:top w:w="30" w:type="dxa"/>
              <w:left w:w="30" w:type="dxa"/>
              <w:bottom w:w="30" w:type="dxa"/>
              <w:right w:w="30" w:type="dxa"/>
            </w:tcMar>
            <w:vAlign w:val="center"/>
            <w:hideMark/>
          </w:tcPr>
          <w:p w:rsidR="009C6CE8" w:rsidRPr="006D532F" w:rsidRDefault="00AC560D" w:rsidP="008D5528">
            <w:pPr>
              <w:rPr>
                <w:rFonts w:ascii="Arial" w:eastAsia="Times New Roman" w:hAnsi="Arial" w:cs="Arial"/>
                <w:sz w:val="15"/>
                <w:szCs w:val="15"/>
              </w:rPr>
            </w:pPr>
            <w:r w:rsidRPr="006D532F">
              <w:rPr>
                <w:rFonts w:ascii="Arial" w:eastAsia="Times New Roman" w:hAnsi="Arial" w:cs="Arial"/>
                <w:sz w:val="15"/>
                <w:szCs w:val="15"/>
              </w:rPr>
              <w:t>Legal Notices: Requires that, after specified date, if legal notice is published in newspaper, newspaper shall also place notice on website at no additional charge; requires free online access; requires that legal notices published in newspapers also be published on specified statewide website; requires that, after specified date, newspapers that publish legal notice must provide e-mail notification of new notices; authorizes electronic proof of publication affidavits; limits rate that may be charged for certain government notices required to be published more than once; requires that website publication of certain legal notices include maps that appear in newspaper advertisements; deletes requirements that certain notices be published in Leon County; requires that notice to certain professional licensees be posted on website &amp; provided to certain news outlets; deletes requirements relating to newspaper publication of certain notices relating to marketing orders &amp; provides for Internet publication &amp; for information to certain news outlets. Effective Date: July 1, 2012, and shall apply to legal notices that must be published on or after that date</w:t>
            </w:r>
          </w:p>
        </w:tc>
      </w:tr>
      <w:tr w:rsidR="00654846" w:rsidRPr="006D53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HB 1013</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b/>
                <w:bCs/>
                <w:sz w:val="20"/>
                <w:szCs w:val="20"/>
              </w:rPr>
            </w:pPr>
            <w:r w:rsidRPr="006D532F">
              <w:rPr>
                <w:rFonts w:ascii="Arial" w:eastAsia="Times New Roman" w:hAnsi="Arial" w:cs="Arial"/>
                <w:b/>
                <w:bCs/>
                <w:sz w:val="20"/>
                <w:szCs w:val="20"/>
              </w:rPr>
              <w:t>Relating to Residential Construction Warranties</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20"/>
                <w:szCs w:val="20"/>
              </w:rPr>
            </w:pPr>
            <w:r w:rsidRPr="006D532F">
              <w:rPr>
                <w:rFonts w:ascii="Arial" w:eastAsia="Times New Roman" w:hAnsi="Arial" w:cs="Arial"/>
                <w:color w:val="003366"/>
                <w:sz w:val="20"/>
                <w:szCs w:val="20"/>
                <w:u w:val="single"/>
              </w:rPr>
              <w:t>Artiles</w:t>
            </w:r>
            <w:r w:rsidRPr="006D532F">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6D532F" w:rsidRDefault="00151720" w:rsidP="005A74C3">
            <w:pPr>
              <w:rPr>
                <w:rFonts w:ascii="Arial" w:eastAsia="Times New Roman" w:hAnsi="Arial" w:cs="Arial"/>
                <w:sz w:val="20"/>
                <w:szCs w:val="20"/>
              </w:rPr>
            </w:pPr>
            <w:r>
              <w:rPr>
                <w:rFonts w:ascii="Arial" w:eastAsia="Times New Roman" w:hAnsi="Arial" w:cs="Arial"/>
                <w:sz w:val="20"/>
                <w:szCs w:val="20"/>
              </w:rPr>
              <w:t>2012-161</w:t>
            </w:r>
          </w:p>
        </w:tc>
      </w:tr>
      <w:tr w:rsidR="00AC560D" w:rsidRPr="006D53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D532F" w:rsidRDefault="00AC560D" w:rsidP="005A74C3">
            <w:pPr>
              <w:rPr>
                <w:rFonts w:ascii="Arial" w:eastAsia="Times New Roman" w:hAnsi="Arial" w:cs="Arial"/>
                <w:sz w:val="15"/>
                <w:szCs w:val="15"/>
              </w:rPr>
            </w:pPr>
            <w:r w:rsidRPr="006D532F">
              <w:rPr>
                <w:rFonts w:ascii="Arial" w:eastAsia="Times New Roman" w:hAnsi="Arial" w:cs="Arial"/>
                <w:sz w:val="15"/>
                <w:szCs w:val="15"/>
              </w:rPr>
              <w:t>Residential Construction Warranties: Provides legislative findings; provides legislative intent to affirm limitations to doctrine of implied warranty of fitness &amp; merchantability or habitability associated with construction &amp; sale of new home; prohibits cause of action in law or equity based upon doctrine of implied warranty of fitness &amp; merchantability or habitability for off-site improvements, except as otherwise provided by law; provides for applicability of act; provides for severability. Effective Date: July 1, 2012, and applies to all cases accruing before, pending on, or filed after that date</w:t>
            </w:r>
          </w:p>
        </w:tc>
      </w:tr>
      <w:tr w:rsidR="00151720" w:rsidRPr="006D682F"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20"/>
                <w:szCs w:val="20"/>
              </w:rPr>
            </w:pPr>
            <w:r w:rsidRPr="006D682F">
              <w:rPr>
                <w:rFonts w:ascii="Arial" w:eastAsia="Times New Roman" w:hAnsi="Arial" w:cs="Arial"/>
                <w:color w:val="003366"/>
                <w:sz w:val="20"/>
                <w:szCs w:val="20"/>
                <w:u w:val="single"/>
              </w:rPr>
              <w:t>HB 5501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b/>
                <w:bCs/>
                <w:sz w:val="20"/>
                <w:szCs w:val="20"/>
              </w:rPr>
            </w:pPr>
            <w:r w:rsidRPr="006D682F">
              <w:rPr>
                <w:rFonts w:ascii="Arial" w:eastAsia="Times New Roman" w:hAnsi="Arial" w:cs="Arial"/>
                <w:b/>
                <w:bCs/>
                <w:sz w:val="20"/>
                <w:szCs w:val="20"/>
              </w:rPr>
              <w:t>Relating to One-Stop Business Registration Portal</w:t>
            </w:r>
          </w:p>
        </w:tc>
        <w:tc>
          <w:tcPr>
            <w:tcW w:w="0" w:type="auto"/>
            <w:gridSpan w:val="3"/>
            <w:tcBorders>
              <w:top w:val="single" w:sz="6" w:space="0" w:color="000000"/>
            </w:tcBorders>
            <w:shd w:val="clear" w:color="auto" w:fill="EEEEEE"/>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20"/>
                <w:szCs w:val="20"/>
              </w:rPr>
            </w:pPr>
            <w:r w:rsidRPr="006D682F">
              <w:rPr>
                <w:rFonts w:ascii="Arial" w:eastAsia="Times New Roman" w:hAnsi="Arial" w:cs="Arial"/>
                <w:color w:val="003366"/>
                <w:sz w:val="20"/>
                <w:szCs w:val="20"/>
                <w:u w:val="single"/>
              </w:rPr>
              <w:t>Government Operations Appropriations Subcommittee</w:t>
            </w:r>
            <w:r w:rsidRPr="006D682F">
              <w:rPr>
                <w:rFonts w:ascii="Arial" w:eastAsia="Times New Roman" w:hAnsi="Arial" w:cs="Arial"/>
                <w:sz w:val="20"/>
                <w:szCs w:val="20"/>
              </w:rPr>
              <w:t xml:space="preserve"> </w:t>
            </w:r>
          </w:p>
        </w:tc>
        <w:tc>
          <w:tcPr>
            <w:tcW w:w="427" w:type="pct"/>
            <w:gridSpan w:val="4"/>
            <w:tcBorders>
              <w:top w:val="single" w:sz="6" w:space="0" w:color="000000"/>
            </w:tcBorders>
            <w:shd w:val="clear" w:color="auto" w:fill="EEEEEE"/>
            <w:tcMar>
              <w:top w:w="30" w:type="dxa"/>
              <w:left w:w="30" w:type="dxa"/>
              <w:bottom w:w="30" w:type="dxa"/>
              <w:right w:w="30" w:type="dxa"/>
            </w:tcMar>
            <w:vAlign w:val="center"/>
            <w:hideMark/>
          </w:tcPr>
          <w:p w:rsidR="00AC560D" w:rsidRPr="00151720" w:rsidRDefault="00151720" w:rsidP="005A74C3">
            <w:pPr>
              <w:rPr>
                <w:rFonts w:ascii="Arial" w:eastAsia="Times New Roman" w:hAnsi="Arial" w:cs="Arial"/>
                <w:sz w:val="20"/>
                <w:szCs w:val="20"/>
              </w:rPr>
            </w:pPr>
            <w:r>
              <w:rPr>
                <w:rFonts w:ascii="Arial" w:eastAsia="Times New Roman" w:hAnsi="Arial" w:cs="Arial"/>
                <w:sz w:val="20"/>
                <w:szCs w:val="20"/>
              </w:rPr>
              <w:t>2012-139</w:t>
            </w:r>
          </w:p>
        </w:tc>
      </w:tr>
      <w:tr w:rsidR="00AC560D" w:rsidRPr="006D682F" w:rsidTr="00654846">
        <w:trPr>
          <w:tblCellSpacing w:w="0" w:type="dxa"/>
          <w:jc w:val="center"/>
        </w:trPr>
        <w:tc>
          <w:tcPr>
            <w:tcW w:w="224" w:type="pct"/>
            <w:gridSpan w:val="2"/>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D682F" w:rsidRDefault="00AC560D" w:rsidP="005A74C3">
            <w:pPr>
              <w:rPr>
                <w:rFonts w:ascii="Arial" w:eastAsia="Times New Roman" w:hAnsi="Arial" w:cs="Arial"/>
                <w:sz w:val="15"/>
                <w:szCs w:val="15"/>
              </w:rPr>
            </w:pPr>
            <w:r w:rsidRPr="006D682F">
              <w:rPr>
                <w:rFonts w:ascii="Arial" w:eastAsia="Times New Roman" w:hAnsi="Arial" w:cs="Arial"/>
                <w:sz w:val="15"/>
                <w:szCs w:val="15"/>
              </w:rPr>
              <w:t>One-Stop Business Registration Portal; Directs DOR to establish One-Stop Business Registration Portal through which individuals &amp; businesses may submit applications for various licenses, registrations, or permits, file various documents, or remit payment for various fees to state department or agency; authorizes DOR to contract for development &amp; maintenance of portal's Internet website; requires certain state departments to cooperate with DOR in development &amp; implementation of portal; requires DOR to submit annual report to Governor &amp; Legislature on portal's implementation &amp; expansion; authorizes DOR to provide certain information relative to portal to certain state departments &amp; agencies &amp; local governments; authorizes DOR to adopt rules; deletes provisions relating to One-Stop Permitting System of former STO; repeals provisions relating to One-Stop Permitting System Grant Program &amp; Quick Permitting County Designation Program. Effective Date: July 1, 2012</w:t>
            </w:r>
          </w:p>
        </w:tc>
      </w:tr>
      <w:tr w:rsidR="00654846" w:rsidRPr="006E38CC"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20"/>
                <w:szCs w:val="20"/>
              </w:rPr>
            </w:pPr>
            <w:r w:rsidRPr="006E38CC">
              <w:rPr>
                <w:rFonts w:ascii="Arial" w:eastAsia="Times New Roman" w:hAnsi="Arial" w:cs="Arial"/>
                <w:color w:val="003366"/>
                <w:sz w:val="20"/>
                <w:szCs w:val="20"/>
                <w:u w:val="single"/>
              </w:rPr>
              <w:t>HB 5505</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b/>
                <w:bCs/>
                <w:sz w:val="20"/>
                <w:szCs w:val="20"/>
              </w:rPr>
            </w:pPr>
            <w:r w:rsidRPr="006E38CC">
              <w:rPr>
                <w:rFonts w:ascii="Arial" w:eastAsia="Times New Roman" w:hAnsi="Arial" w:cs="Arial"/>
                <w:b/>
                <w:bCs/>
                <w:sz w:val="20"/>
                <w:szCs w:val="20"/>
              </w:rPr>
              <w:t xml:space="preserve">Relating to Department of Financial Services </w:t>
            </w:r>
          </w:p>
        </w:tc>
        <w:tc>
          <w:tcPr>
            <w:tcW w:w="4131" w:type="pct"/>
            <w:gridSpan w:val="7"/>
            <w:tcBorders>
              <w:top w:val="single" w:sz="6" w:space="0" w:color="000000"/>
            </w:tcBorders>
            <w:shd w:val="clear" w:color="auto" w:fill="EEEEEE"/>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20"/>
                <w:szCs w:val="20"/>
              </w:rPr>
            </w:pPr>
            <w:r w:rsidRPr="006E38CC">
              <w:rPr>
                <w:rFonts w:ascii="Arial" w:eastAsia="Times New Roman" w:hAnsi="Arial" w:cs="Arial"/>
                <w:color w:val="003366"/>
                <w:sz w:val="20"/>
                <w:szCs w:val="20"/>
                <w:u w:val="single"/>
              </w:rPr>
              <w:t>Government Operations Appropriations Subcommittee</w:t>
            </w:r>
            <w:r w:rsidRPr="006E38CC">
              <w:rPr>
                <w:rFonts w:ascii="Arial" w:eastAsia="Times New Roman" w:hAnsi="Arial" w:cs="Arial"/>
                <w:sz w:val="20"/>
                <w:szCs w:val="20"/>
              </w:rPr>
              <w:t xml:space="preserve"> </w:t>
            </w:r>
            <w:r w:rsidR="00151720">
              <w:rPr>
                <w:rFonts w:ascii="Arial" w:eastAsia="Times New Roman" w:hAnsi="Arial" w:cs="Arial"/>
                <w:sz w:val="20"/>
                <w:szCs w:val="20"/>
              </w:rPr>
              <w:t xml:space="preserve">                                       </w:t>
            </w:r>
            <w:r w:rsidR="00151720" w:rsidRPr="00151720">
              <w:rPr>
                <w:rFonts w:ascii="Arial" w:eastAsia="Times New Roman" w:hAnsi="Arial" w:cs="Arial"/>
                <w:b/>
                <w:i/>
                <w:sz w:val="20"/>
                <w:szCs w:val="20"/>
                <w:u w:val="single"/>
              </w:rPr>
              <w:t>VETOED</w:t>
            </w:r>
          </w:p>
        </w:tc>
      </w:tr>
      <w:tr w:rsidR="00AC560D" w:rsidRPr="006E38CC" w:rsidTr="00654846">
        <w:trPr>
          <w:tblCellSpacing w:w="0" w:type="dxa"/>
          <w:jc w:val="center"/>
        </w:trPr>
        <w:tc>
          <w:tcPr>
            <w:tcW w:w="224" w:type="pct"/>
            <w:gridSpan w:val="2"/>
            <w:tcMar>
              <w:top w:w="30" w:type="dxa"/>
              <w:left w:w="30" w:type="dxa"/>
              <w:bottom w:w="30" w:type="dxa"/>
              <w:right w:w="30" w:type="dxa"/>
            </w:tcMar>
            <w:vAlign w:val="center"/>
            <w:hideMark/>
          </w:tcPr>
          <w:p w:rsidR="00AC560D" w:rsidRPr="006E38CC"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Pr="006E38CC" w:rsidRDefault="00AC560D" w:rsidP="00E16D83">
            <w:pPr>
              <w:rPr>
                <w:rFonts w:ascii="Arial" w:eastAsia="Times New Roman" w:hAnsi="Arial" w:cs="Arial"/>
                <w:sz w:val="15"/>
                <w:szCs w:val="15"/>
              </w:rPr>
            </w:pPr>
            <w:r w:rsidRPr="006E38CC">
              <w:rPr>
                <w:rFonts w:ascii="Arial" w:eastAsia="Times New Roman" w:hAnsi="Arial" w:cs="Arial"/>
                <w:sz w:val="15"/>
                <w:szCs w:val="15"/>
              </w:rPr>
              <w:t>Department of Financial Services: Redefines term "employee" for purposes of workers' compensation; revises requirements for submitting notice of election of exemption; revises duties of DFS relating to expiration of certificates of exemption; expands applicability of requirements relating to certificates of exemption; repeals provision relating to duty of DFS to make annual report on administration of ch. 440, F.S., Workers' Compensation Law, to specified officials. Effective Date: July 1, 2012</w:t>
            </w:r>
          </w:p>
        </w:tc>
      </w:tr>
      <w:tr w:rsidR="00654846" w:rsidRPr="00706187" w:rsidTr="00654846">
        <w:trPr>
          <w:tblCellSpacing w:w="0" w:type="dxa"/>
          <w:jc w:val="center"/>
        </w:trPr>
        <w:tc>
          <w:tcPr>
            <w:tcW w:w="224" w:type="pct"/>
            <w:gridSpan w:val="2"/>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20"/>
                <w:szCs w:val="20"/>
              </w:rPr>
            </w:pPr>
            <w:r w:rsidRPr="00706187">
              <w:rPr>
                <w:rFonts w:ascii="Arial" w:eastAsia="Times New Roman" w:hAnsi="Arial" w:cs="Arial"/>
                <w:color w:val="003366"/>
                <w:sz w:val="20"/>
                <w:szCs w:val="20"/>
                <w:u w:val="single"/>
              </w:rPr>
              <w:t>HB 5511</w:t>
            </w:r>
          </w:p>
        </w:tc>
        <w:tc>
          <w:tcPr>
            <w:tcW w:w="0" w:type="auto"/>
            <w:gridSpan w:val="2"/>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b/>
                <w:bCs/>
                <w:sz w:val="20"/>
                <w:szCs w:val="20"/>
              </w:rPr>
            </w:pPr>
            <w:r w:rsidRPr="00706187">
              <w:rPr>
                <w:rFonts w:ascii="Arial" w:eastAsia="Times New Roman" w:hAnsi="Arial" w:cs="Arial"/>
                <w:b/>
                <w:bCs/>
                <w:sz w:val="20"/>
                <w:szCs w:val="20"/>
              </w:rPr>
              <w:t>Relating to Department of Business and Professional Regulation</w:t>
            </w:r>
          </w:p>
        </w:tc>
        <w:tc>
          <w:tcPr>
            <w:tcW w:w="0" w:type="auto"/>
            <w:gridSpan w:val="4"/>
            <w:tcBorders>
              <w:top w:val="single" w:sz="6" w:space="0" w:color="000000"/>
            </w:tcBorders>
            <w:shd w:val="clear" w:color="auto" w:fill="EEEEEE"/>
            <w:tcMar>
              <w:top w:w="30" w:type="dxa"/>
              <w:left w:w="30" w:type="dxa"/>
              <w:bottom w:w="30" w:type="dxa"/>
              <w:right w:w="30" w:type="dxa"/>
            </w:tcMar>
            <w:vAlign w:val="center"/>
            <w:hideMark/>
          </w:tcPr>
          <w:p w:rsidR="00AC560D" w:rsidRDefault="00AC560D" w:rsidP="005A74C3">
            <w:pPr>
              <w:rPr>
                <w:rFonts w:ascii="Arial" w:eastAsia="Times New Roman" w:hAnsi="Arial" w:cs="Arial"/>
                <w:sz w:val="20"/>
                <w:szCs w:val="20"/>
              </w:rPr>
            </w:pPr>
            <w:r w:rsidRPr="00706187">
              <w:rPr>
                <w:rFonts w:ascii="Arial" w:eastAsia="Times New Roman" w:hAnsi="Arial" w:cs="Arial"/>
                <w:color w:val="003366"/>
                <w:sz w:val="20"/>
                <w:szCs w:val="20"/>
                <w:u w:val="single"/>
              </w:rPr>
              <w:t>Government Operations Appropriations Subcommittee</w:t>
            </w:r>
            <w:r w:rsidRPr="00706187">
              <w:rPr>
                <w:rFonts w:ascii="Arial" w:eastAsia="Times New Roman" w:hAnsi="Arial" w:cs="Arial"/>
                <w:sz w:val="20"/>
                <w:szCs w:val="20"/>
              </w:rPr>
              <w:t xml:space="preserve"> </w:t>
            </w:r>
            <w:r w:rsidR="00151720">
              <w:rPr>
                <w:rFonts w:ascii="Arial" w:eastAsia="Times New Roman" w:hAnsi="Arial" w:cs="Arial"/>
                <w:sz w:val="20"/>
                <w:szCs w:val="20"/>
              </w:rPr>
              <w:t xml:space="preserve">                                          </w:t>
            </w:r>
            <w:r w:rsidR="00654846">
              <w:rPr>
                <w:rFonts w:ascii="Arial" w:eastAsia="Times New Roman" w:hAnsi="Arial" w:cs="Arial"/>
                <w:sz w:val="20"/>
                <w:szCs w:val="20"/>
              </w:rPr>
              <w:t xml:space="preserve">                  </w:t>
            </w:r>
          </w:p>
          <w:p w:rsidR="00151720" w:rsidRPr="00151720" w:rsidRDefault="00151720" w:rsidP="005A74C3">
            <w:pPr>
              <w:rPr>
                <w:rFonts w:ascii="Arial" w:eastAsia="Times New Roman" w:hAnsi="Arial" w:cs="Arial"/>
                <w:sz w:val="20"/>
                <w:szCs w:val="20"/>
              </w:rPr>
            </w:pPr>
            <w:r>
              <w:rPr>
                <w:rFonts w:ascii="Arial" w:eastAsia="Times New Roman" w:hAnsi="Arial" w:cs="Arial"/>
                <w:sz w:val="20"/>
                <w:szCs w:val="20"/>
              </w:rPr>
              <w:t xml:space="preserve">                                                                                                                                </w:t>
            </w:r>
            <w:r w:rsidR="00654846">
              <w:rPr>
                <w:rFonts w:ascii="Arial" w:eastAsia="Times New Roman" w:hAnsi="Arial" w:cs="Arial"/>
                <w:sz w:val="20"/>
                <w:szCs w:val="20"/>
              </w:rPr>
              <w:t xml:space="preserve">             </w:t>
            </w:r>
            <w:r>
              <w:rPr>
                <w:rFonts w:ascii="Arial" w:eastAsia="Times New Roman" w:hAnsi="Arial" w:cs="Arial"/>
                <w:sz w:val="20"/>
                <w:szCs w:val="20"/>
              </w:rPr>
              <w:t>2012-143</w:t>
            </w:r>
          </w:p>
        </w:tc>
        <w:tc>
          <w:tcPr>
            <w:tcW w:w="384" w:type="pct"/>
            <w:gridSpan w:val="3"/>
            <w:tcBorders>
              <w:top w:val="single" w:sz="6" w:space="0" w:color="000000"/>
            </w:tcBorders>
            <w:shd w:val="clear" w:color="auto" w:fill="EEEEEE"/>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20"/>
                <w:szCs w:val="20"/>
              </w:rPr>
            </w:pPr>
          </w:p>
        </w:tc>
      </w:tr>
      <w:tr w:rsidR="00AC560D" w:rsidRPr="00706187" w:rsidTr="00654846">
        <w:trPr>
          <w:tblCellSpacing w:w="0" w:type="dxa"/>
          <w:jc w:val="center"/>
        </w:trPr>
        <w:tc>
          <w:tcPr>
            <w:tcW w:w="224" w:type="pct"/>
            <w:gridSpan w:val="2"/>
            <w:tcMar>
              <w:top w:w="30" w:type="dxa"/>
              <w:left w:w="30" w:type="dxa"/>
              <w:bottom w:w="30" w:type="dxa"/>
              <w:right w:w="30" w:type="dxa"/>
            </w:tcMar>
            <w:vAlign w:val="center"/>
            <w:hideMark/>
          </w:tcPr>
          <w:p w:rsidR="00AC560D" w:rsidRPr="00706187" w:rsidRDefault="00AC560D" w:rsidP="005A74C3">
            <w:pPr>
              <w:rPr>
                <w:rFonts w:ascii="Arial" w:eastAsia="Times New Roman" w:hAnsi="Arial" w:cs="Arial"/>
                <w:sz w:val="15"/>
                <w:szCs w:val="15"/>
              </w:rPr>
            </w:pPr>
          </w:p>
        </w:tc>
        <w:tc>
          <w:tcPr>
            <w:tcW w:w="4776" w:type="pct"/>
            <w:gridSpan w:val="9"/>
            <w:tcMar>
              <w:top w:w="30" w:type="dxa"/>
              <w:left w:w="30" w:type="dxa"/>
              <w:bottom w:w="30" w:type="dxa"/>
              <w:right w:w="30" w:type="dxa"/>
            </w:tcMar>
            <w:vAlign w:val="center"/>
            <w:hideMark/>
          </w:tcPr>
          <w:p w:rsidR="00AC560D" w:rsidRDefault="00AC560D" w:rsidP="009C6CE8">
            <w:pPr>
              <w:tabs>
                <w:tab w:val="left" w:pos="8463"/>
                <w:tab w:val="left" w:pos="8778"/>
              </w:tabs>
              <w:rPr>
                <w:rFonts w:ascii="Arial" w:eastAsia="Times New Roman" w:hAnsi="Arial" w:cs="Arial"/>
                <w:sz w:val="15"/>
                <w:szCs w:val="15"/>
              </w:rPr>
            </w:pPr>
            <w:r w:rsidRPr="00706187">
              <w:rPr>
                <w:rFonts w:ascii="Arial" w:eastAsia="Times New Roman" w:hAnsi="Arial" w:cs="Arial"/>
                <w:sz w:val="15"/>
                <w:szCs w:val="15"/>
              </w:rPr>
              <w:t>Department of Business and Professional Regulation; Creates Division of Drugs, Devices, &amp; Cosmetics within DBPR; conforms provisions to transfer by s. 27, ch. 2010-161, L.O.F., of regulatory authority for ch. 499, F.S., from DOH to DBPR; repeals provisions relating to Florida Drug, Device, &amp; Cosmetic Trust Fund; terminates trust fund &amp; provides for disposition of balances in &amp; revenues of trust fund; prescribes procedures for termination of trust fund. Effective Date: July 1, 2012</w:t>
            </w: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Default="008D5528" w:rsidP="009C6CE8">
            <w:pPr>
              <w:tabs>
                <w:tab w:val="left" w:pos="8463"/>
                <w:tab w:val="left" w:pos="8778"/>
              </w:tabs>
              <w:rPr>
                <w:rFonts w:ascii="Arial" w:eastAsia="Times New Roman" w:hAnsi="Arial" w:cs="Arial"/>
                <w:sz w:val="15"/>
                <w:szCs w:val="15"/>
              </w:rPr>
            </w:pPr>
          </w:p>
          <w:p w:rsidR="008D5528" w:rsidRPr="00706187" w:rsidRDefault="008D5528" w:rsidP="009C6CE8">
            <w:pPr>
              <w:tabs>
                <w:tab w:val="left" w:pos="8463"/>
                <w:tab w:val="left" w:pos="8778"/>
              </w:tabs>
              <w:rPr>
                <w:rFonts w:ascii="Arial" w:eastAsia="Times New Roman" w:hAnsi="Arial" w:cs="Arial"/>
                <w:sz w:val="15"/>
                <w:szCs w:val="15"/>
              </w:rPr>
            </w:pPr>
          </w:p>
        </w:tc>
      </w:tr>
      <w:tr w:rsidR="00654846" w:rsidRPr="006707B8" w:rsidTr="00654846">
        <w:trPr>
          <w:gridBefore w:val="1"/>
          <w:wBefore w:w="9" w:type="pct"/>
          <w:tblCellSpacing w:w="0" w:type="dxa"/>
          <w:jc w:val="center"/>
        </w:trPr>
        <w:tc>
          <w:tcPr>
            <w:tcW w:w="0" w:type="auto"/>
            <w:gridSpan w:val="2"/>
            <w:tcBorders>
              <w:top w:val="single" w:sz="6" w:space="0" w:color="000000"/>
            </w:tcBorders>
            <w:shd w:val="clear" w:color="auto" w:fill="EEEEEE"/>
            <w:vAlign w:val="center"/>
            <w:hideMark/>
          </w:tcPr>
          <w:p w:rsidR="00AC560D" w:rsidRDefault="00AC560D" w:rsidP="005A74C3">
            <w:pPr>
              <w:rPr>
                <w:rFonts w:ascii="Arial" w:eastAsia="Times New Roman" w:hAnsi="Arial" w:cs="Arial"/>
                <w:sz w:val="20"/>
                <w:szCs w:val="20"/>
              </w:rPr>
            </w:pPr>
          </w:p>
          <w:p w:rsidR="00AC560D" w:rsidRPr="006707B8" w:rsidRDefault="00AC560D" w:rsidP="005A74C3">
            <w:pPr>
              <w:rPr>
                <w:rFonts w:ascii="Arial" w:eastAsia="Times New Roman" w:hAnsi="Arial" w:cs="Arial"/>
                <w:sz w:val="20"/>
                <w:szCs w:val="20"/>
              </w:rPr>
            </w:pPr>
            <w:r w:rsidRPr="006707B8">
              <w:rPr>
                <w:rFonts w:ascii="Arial" w:eastAsia="Times New Roman" w:hAnsi="Arial" w:cs="Arial"/>
                <w:color w:val="003366"/>
                <w:sz w:val="20"/>
                <w:szCs w:val="20"/>
                <w:u w:val="single"/>
              </w:rPr>
              <w:t>HB 1263</w:t>
            </w:r>
          </w:p>
        </w:tc>
        <w:tc>
          <w:tcPr>
            <w:tcW w:w="0" w:type="auto"/>
            <w:gridSpan w:val="2"/>
            <w:tcBorders>
              <w:top w:val="single" w:sz="6" w:space="0" w:color="000000"/>
            </w:tcBorders>
            <w:shd w:val="clear" w:color="auto" w:fill="EEEEEE"/>
            <w:vAlign w:val="center"/>
            <w:hideMark/>
          </w:tcPr>
          <w:p w:rsidR="00AC560D" w:rsidRPr="006707B8" w:rsidRDefault="00AC560D" w:rsidP="009C6CE8">
            <w:pPr>
              <w:ind w:left="-1264" w:firstLine="1264"/>
              <w:rPr>
                <w:rFonts w:ascii="Arial" w:eastAsia="Times New Roman" w:hAnsi="Arial" w:cs="Arial"/>
                <w:b/>
                <w:bCs/>
                <w:sz w:val="20"/>
                <w:szCs w:val="20"/>
              </w:rPr>
            </w:pPr>
            <w:r w:rsidRPr="006707B8">
              <w:rPr>
                <w:rFonts w:ascii="Arial" w:eastAsia="Times New Roman" w:hAnsi="Arial" w:cs="Arial"/>
                <w:b/>
                <w:bCs/>
                <w:sz w:val="20"/>
                <w:szCs w:val="20"/>
              </w:rPr>
              <w:t xml:space="preserve">Relating to Department of Health </w:t>
            </w:r>
          </w:p>
        </w:tc>
        <w:tc>
          <w:tcPr>
            <w:tcW w:w="0" w:type="auto"/>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r w:rsidRPr="006707B8">
              <w:rPr>
                <w:rFonts w:ascii="Arial" w:eastAsia="Times New Roman" w:hAnsi="Arial" w:cs="Arial"/>
                <w:color w:val="003366"/>
                <w:sz w:val="20"/>
                <w:szCs w:val="20"/>
                <w:u w:val="single"/>
              </w:rPr>
              <w:t>Hudson</w:t>
            </w:r>
            <w:r w:rsidRPr="006707B8">
              <w:rPr>
                <w:rFonts w:ascii="Arial" w:eastAsia="Times New Roman" w:hAnsi="Arial" w:cs="Arial"/>
                <w:sz w:val="20"/>
                <w:szCs w:val="20"/>
              </w:rPr>
              <w:t xml:space="preserve"> </w:t>
            </w:r>
          </w:p>
        </w:tc>
        <w:tc>
          <w:tcPr>
            <w:tcW w:w="0" w:type="auto"/>
            <w:tcBorders>
              <w:top w:val="single" w:sz="6" w:space="0" w:color="000000"/>
            </w:tcBorders>
            <w:shd w:val="clear" w:color="auto" w:fill="EEEEEE"/>
            <w:vAlign w:val="center"/>
            <w:hideMark/>
          </w:tcPr>
          <w:p w:rsidR="00AC560D" w:rsidRDefault="00654846" w:rsidP="005A74C3">
            <w:pPr>
              <w:rPr>
                <w:rFonts w:ascii="Arial" w:eastAsia="Times New Roman" w:hAnsi="Arial" w:cs="Arial"/>
                <w:sz w:val="20"/>
                <w:szCs w:val="20"/>
              </w:rPr>
            </w:pPr>
            <w:r>
              <w:rPr>
                <w:rFonts w:ascii="Arial" w:eastAsia="Times New Roman" w:hAnsi="Arial" w:cs="Arial"/>
                <w:sz w:val="20"/>
                <w:szCs w:val="20"/>
              </w:rPr>
              <w:t>April 27, 2012</w:t>
            </w:r>
          </w:p>
          <w:p w:rsidR="00654846" w:rsidRPr="006707B8" w:rsidRDefault="00654846" w:rsidP="005A74C3">
            <w:pPr>
              <w:rPr>
                <w:rFonts w:ascii="Arial" w:eastAsia="Times New Roman" w:hAnsi="Arial" w:cs="Arial"/>
                <w:sz w:val="20"/>
                <w:szCs w:val="20"/>
              </w:rPr>
            </w:pPr>
            <w:r>
              <w:rPr>
                <w:rFonts w:ascii="Arial" w:eastAsia="Times New Roman" w:hAnsi="Arial" w:cs="Arial"/>
                <w:sz w:val="20"/>
                <w:szCs w:val="20"/>
              </w:rPr>
              <w:t>2012-184</w:t>
            </w:r>
          </w:p>
        </w:tc>
        <w:tc>
          <w:tcPr>
            <w:tcW w:w="0" w:type="auto"/>
            <w:gridSpan w:val="2"/>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p>
        </w:tc>
        <w:tc>
          <w:tcPr>
            <w:tcW w:w="0" w:type="auto"/>
            <w:tcBorders>
              <w:top w:val="single" w:sz="6" w:space="0" w:color="000000"/>
            </w:tcBorders>
            <w:shd w:val="clear" w:color="auto" w:fill="EEEEEE"/>
            <w:vAlign w:val="center"/>
            <w:hideMark/>
          </w:tcPr>
          <w:p w:rsidR="00AC560D" w:rsidRPr="006707B8" w:rsidRDefault="00AC560D" w:rsidP="005A74C3">
            <w:pPr>
              <w:rPr>
                <w:rFonts w:ascii="Arial" w:eastAsia="Times New Roman" w:hAnsi="Arial" w:cs="Arial"/>
                <w:sz w:val="20"/>
                <w:szCs w:val="20"/>
              </w:rPr>
            </w:pPr>
            <w:r w:rsidRPr="006707B8">
              <w:rPr>
                <w:rFonts w:ascii="Arial" w:eastAsia="Times New Roman" w:hAnsi="Arial" w:cs="Arial"/>
                <w:sz w:val="20"/>
                <w:szCs w:val="20"/>
              </w:rPr>
              <w:t> </w:t>
            </w:r>
          </w:p>
        </w:tc>
        <w:tc>
          <w:tcPr>
            <w:tcW w:w="294" w:type="pct"/>
            <w:tcBorders>
              <w:top w:val="single" w:sz="6" w:space="0" w:color="000000"/>
            </w:tcBorders>
            <w:shd w:val="clear" w:color="auto" w:fill="EEEEEE"/>
            <w:vAlign w:val="center"/>
            <w:hideMark/>
          </w:tcPr>
          <w:p w:rsidR="00AC560D" w:rsidRPr="006707B8" w:rsidRDefault="00AC560D" w:rsidP="005A74C3">
            <w:pPr>
              <w:jc w:val="center"/>
              <w:rPr>
                <w:rFonts w:ascii="Arial" w:eastAsia="Times New Roman" w:hAnsi="Arial" w:cs="Arial"/>
                <w:sz w:val="20"/>
                <w:szCs w:val="20"/>
              </w:rPr>
            </w:pPr>
          </w:p>
        </w:tc>
      </w:tr>
      <w:tr w:rsidR="00AC560D" w:rsidRPr="006707B8" w:rsidTr="00654846">
        <w:trPr>
          <w:gridBefore w:val="1"/>
          <w:wBefore w:w="9" w:type="pct"/>
          <w:tblCellSpacing w:w="0" w:type="dxa"/>
          <w:jc w:val="center"/>
        </w:trPr>
        <w:tc>
          <w:tcPr>
            <w:tcW w:w="0" w:type="auto"/>
            <w:gridSpan w:val="2"/>
            <w:vAlign w:val="center"/>
            <w:hideMark/>
          </w:tcPr>
          <w:p w:rsidR="00AC560D" w:rsidRPr="006707B8" w:rsidRDefault="00AC560D" w:rsidP="005A74C3">
            <w:pPr>
              <w:rPr>
                <w:rFonts w:ascii="Arial" w:eastAsia="Times New Roman" w:hAnsi="Arial" w:cs="Arial"/>
                <w:sz w:val="15"/>
                <w:szCs w:val="15"/>
              </w:rPr>
            </w:pPr>
          </w:p>
        </w:tc>
        <w:tc>
          <w:tcPr>
            <w:tcW w:w="4453" w:type="pct"/>
            <w:gridSpan w:val="8"/>
            <w:vAlign w:val="center"/>
            <w:hideMark/>
          </w:tcPr>
          <w:p w:rsidR="00AC560D" w:rsidRPr="006707B8" w:rsidRDefault="00AC560D" w:rsidP="009C6CE8">
            <w:pPr>
              <w:jc w:val="both"/>
              <w:rPr>
                <w:rFonts w:ascii="Arial" w:eastAsia="Times New Roman" w:hAnsi="Arial" w:cs="Arial"/>
                <w:sz w:val="15"/>
                <w:szCs w:val="15"/>
              </w:rPr>
            </w:pPr>
            <w:r w:rsidRPr="006707B8">
              <w:rPr>
                <w:rFonts w:ascii="Arial" w:eastAsia="Times New Roman" w:hAnsi="Arial" w:cs="Arial"/>
                <w:sz w:val="15"/>
                <w:szCs w:val="15"/>
              </w:rPr>
              <w:t>Department of Health; Revises purpose of DOH; revises duties of State Surgeon General; eliminates Officer of Women's Health Strategy; eliminates Florida Drug, Device, &amp; Cosmetic Trust Fund &amp; Nursing Student Loan Forgiveness Trust Fund as trust funds; provides that two or more counties may combine for operation of county health department when such counties establish an interlocal agreement; requires DOH to be responsible for state public health system; requires department to provide leadership for partnership involving federal, state, &amp; local government &amp; private sector to accomplish public health goals; allows counties to enact health regulations &amp; ordinances consistent with state law; provides that certain actions that interfere, hinder, or oppose official duties of department employees constitute second-degree misdemeanor; requires department to establish rules for conditions &amp; procedures for imposing &amp; releasing quarantine; provides that rules established under this section supersede all rules enacted by other state agencies, boards, or political subdivisions; provides that violation of rules established under section, quarantine, or requirement adopted pursuant to declared public health emergency is second-degree misdemeanor. Effective Date: upon becoming a law</w:t>
            </w:r>
          </w:p>
        </w:tc>
      </w:tr>
    </w:tbl>
    <w:p w:rsidR="002B0DFC" w:rsidRDefault="002B0DFC" w:rsidP="004A582F">
      <w:pPr>
        <w:pStyle w:val="BlockText"/>
        <w:rPr>
          <w:b/>
          <w:u w:val="single"/>
        </w:rPr>
      </w:pPr>
    </w:p>
    <w:p w:rsidR="00D83830" w:rsidRDefault="000B76DD" w:rsidP="002C5E1D">
      <w:pPr>
        <w:pStyle w:val="BlockText"/>
      </w:pPr>
      <w:r>
        <w:t>Respectfully submitted,</w:t>
      </w:r>
    </w:p>
    <w:p w:rsidR="002C5E1D" w:rsidRDefault="00654846" w:rsidP="002C5E1D">
      <w:pPr>
        <w:pStyle w:val="BlockText"/>
      </w:pPr>
      <w:r>
        <w:t>May 14</w:t>
      </w:r>
      <w:r w:rsidR="00D17EF8">
        <w:t xml:space="preserve">, </w:t>
      </w:r>
      <w:r w:rsidR="008C0D2B">
        <w:t>2012</w:t>
      </w:r>
    </w:p>
    <w:p w:rsidR="002C5E1D" w:rsidRDefault="002C5E1D" w:rsidP="002C5E1D">
      <w:pPr>
        <w:pStyle w:val="BlockText"/>
      </w:pPr>
    </w:p>
    <w:p w:rsidR="00251EB1" w:rsidRDefault="002C5E1D" w:rsidP="00F9535D">
      <w:pPr>
        <w:pStyle w:val="BlockText"/>
      </w:pPr>
      <w:r>
        <w:t>-end of report-</w:t>
      </w:r>
    </w:p>
    <w:sectPr w:rsidR="00251EB1" w:rsidSect="009A10B6">
      <w:footerReference w:type="default" r:id="rId7"/>
      <w:footerReference w:type="first" r:id="rId8"/>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D9" w:rsidRDefault="00613DD9" w:rsidP="009A2CBA">
      <w:r>
        <w:separator/>
      </w:r>
    </w:p>
  </w:endnote>
  <w:endnote w:type="continuationSeparator" w:id="0">
    <w:p w:rsidR="00613DD9" w:rsidRDefault="00613DD9"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757738">
        <w:rPr>
          <w:noProof/>
        </w:rPr>
        <w:t>2</w:t>
      </w:r>
    </w:fldSimple>
  </w:p>
  <w:p w:rsidR="005A74C3" w:rsidRPr="00911FE4" w:rsidRDefault="00C723A7" w:rsidP="000421B5">
    <w:pPr>
      <w:pStyle w:val="Footer"/>
      <w:rPr>
        <w:rStyle w:val="DocID"/>
      </w:rPr>
    </w:pPr>
    <w:r w:rsidRPr="00C723A7">
      <w:rPr>
        <w:rStyle w:val="DocID"/>
      </w:rPr>
      <w:t>#9764699_v1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BD247D"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757738">
      <w:rPr>
        <w:noProof/>
        <w:sz w:val="20"/>
      </w:rPr>
      <w:instrText>3</w:instrText>
    </w:r>
    <w:r>
      <w:rPr>
        <w:sz w:val="20"/>
      </w:rPr>
      <w:fldChar w:fldCharType="end"/>
    </w:r>
    <w:r w:rsidR="005A74C3">
      <w:rPr>
        <w:sz w:val="20"/>
      </w:rPr>
      <w:instrText xml:space="preserve"> = 1 </w:instrText>
    </w:r>
    <w:r w:rsidR="005A74C3" w:rsidRPr="00F4233A">
      <w:rPr>
        <w:rStyle w:val="DocID"/>
      </w:rPr>
      <w:instrText>#9751992_v1</w:instrText>
    </w:r>
    <w:r w:rsidR="005A74C3">
      <w:instrText xml:space="preserve"> ""</w:instrText>
    </w:r>
    <w:r w:rsidR="005A74C3">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D9" w:rsidRDefault="00613DD9" w:rsidP="009A2CBA">
      <w:r>
        <w:separator/>
      </w:r>
    </w:p>
  </w:footnote>
  <w:footnote w:type="continuationSeparator" w:id="0">
    <w:p w:rsidR="00613DD9" w:rsidRDefault="00613DD9" w:rsidP="009A2CBA">
      <w:r>
        <w:continuationSeparator/>
      </w:r>
    </w:p>
  </w:footnote>
  <w:footnote w:id="1">
    <w:p w:rsidR="005A74C3" w:rsidRDefault="005A74C3">
      <w:pPr>
        <w:pStyle w:val="FootnoteText"/>
      </w:pPr>
      <w:r>
        <w:rPr>
          <w:rStyle w:val="FootnoteReference"/>
        </w:rPr>
        <w:footnoteRef/>
      </w:r>
      <w:r>
        <w:t xml:space="preserve"> While this additional Division II license category was added in 2011, it has been repealed by Section 15, Chapter 2012-72, Laws of Florida, effective October 1, 2012.</w:t>
      </w:r>
    </w:p>
  </w:footnote>
  <w:footnote w:id="2">
    <w:p w:rsidR="005F17D4" w:rsidRDefault="005F17D4">
      <w:pPr>
        <w:pStyle w:val="FootnoteText"/>
      </w:pPr>
      <w:r>
        <w:rPr>
          <w:rStyle w:val="FootnoteReference"/>
        </w:rPr>
        <w:footnoteRef/>
      </w:r>
      <w:r>
        <w:t xml:space="preserve">  A similar petition previously filed by this petitioner with the Construction Industry Licensing Board was granted.</w:t>
      </w:r>
    </w:p>
  </w:footnote>
  <w:footnote w:id="3">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5A74C3" w:rsidRDefault="005A74C3">
      <w:pPr>
        <w:pStyle w:val="FootnoteText"/>
      </w:pPr>
    </w:p>
  </w:footnote>
  <w:footnote w:id="4">
    <w:p w:rsidR="005A74C3" w:rsidRPr="0038047E" w:rsidRDefault="005A74C3" w:rsidP="0038047E">
      <w:pPr>
        <w:pStyle w:val="BlockText"/>
      </w:pPr>
      <w:r>
        <w:rPr>
          <w:rStyle w:val="FootnoteReference"/>
        </w:rPr>
        <w:footnoteRef/>
      </w:r>
      <w:r>
        <w:t xml:space="preserve"> </w:t>
      </w:r>
      <w:r w:rsidRPr="0038047E">
        <w:t>As part of the TRANSFER of this commission from the now-defunct Department of Community Affairs to the Department of Business and Professional Regulation, all rules from Chapter 9N have been TRANSFERRED to Chapter 61G20, FAC.</w:t>
      </w:r>
    </w:p>
    <w:p w:rsidR="005A74C3" w:rsidRDefault="005A74C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32CC04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2263AEA">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D8155F"/>
    <w:rsid w:val="00011776"/>
    <w:rsid w:val="00016A29"/>
    <w:rsid w:val="000214DE"/>
    <w:rsid w:val="00027FC3"/>
    <w:rsid w:val="000302BC"/>
    <w:rsid w:val="000341ED"/>
    <w:rsid w:val="000421B5"/>
    <w:rsid w:val="0005012E"/>
    <w:rsid w:val="000509E7"/>
    <w:rsid w:val="00054D0D"/>
    <w:rsid w:val="00055700"/>
    <w:rsid w:val="00084298"/>
    <w:rsid w:val="000A4BA4"/>
    <w:rsid w:val="000B1DDB"/>
    <w:rsid w:val="000B76DD"/>
    <w:rsid w:val="000D2555"/>
    <w:rsid w:val="000F6911"/>
    <w:rsid w:val="00100E22"/>
    <w:rsid w:val="00103CDF"/>
    <w:rsid w:val="00107362"/>
    <w:rsid w:val="00110D3B"/>
    <w:rsid w:val="001114F7"/>
    <w:rsid w:val="001148B5"/>
    <w:rsid w:val="001156AF"/>
    <w:rsid w:val="00117544"/>
    <w:rsid w:val="00126ABD"/>
    <w:rsid w:val="00146E4E"/>
    <w:rsid w:val="001476D7"/>
    <w:rsid w:val="00151720"/>
    <w:rsid w:val="00151F43"/>
    <w:rsid w:val="001572A8"/>
    <w:rsid w:val="00172C04"/>
    <w:rsid w:val="00175923"/>
    <w:rsid w:val="0019065B"/>
    <w:rsid w:val="001963BC"/>
    <w:rsid w:val="001B11FD"/>
    <w:rsid w:val="001B73F6"/>
    <w:rsid w:val="001D1B70"/>
    <w:rsid w:val="001D25D1"/>
    <w:rsid w:val="001D50A8"/>
    <w:rsid w:val="001E327E"/>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857BE"/>
    <w:rsid w:val="00286558"/>
    <w:rsid w:val="00290B6F"/>
    <w:rsid w:val="00294F80"/>
    <w:rsid w:val="002A4DD8"/>
    <w:rsid w:val="002B0DFC"/>
    <w:rsid w:val="002B3E98"/>
    <w:rsid w:val="002B78B0"/>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563EF"/>
    <w:rsid w:val="0038047E"/>
    <w:rsid w:val="00383EFB"/>
    <w:rsid w:val="00385904"/>
    <w:rsid w:val="003A1E91"/>
    <w:rsid w:val="003A33A5"/>
    <w:rsid w:val="003A4FB0"/>
    <w:rsid w:val="003B5B30"/>
    <w:rsid w:val="003C09F0"/>
    <w:rsid w:val="003C50CC"/>
    <w:rsid w:val="003D34DF"/>
    <w:rsid w:val="003E13A7"/>
    <w:rsid w:val="00416C25"/>
    <w:rsid w:val="004200FB"/>
    <w:rsid w:val="00425FE8"/>
    <w:rsid w:val="004406AC"/>
    <w:rsid w:val="004634BE"/>
    <w:rsid w:val="00465432"/>
    <w:rsid w:val="0047003F"/>
    <w:rsid w:val="00484B9C"/>
    <w:rsid w:val="004A0671"/>
    <w:rsid w:val="004A451E"/>
    <w:rsid w:val="004A5613"/>
    <w:rsid w:val="004A582F"/>
    <w:rsid w:val="004A6E9B"/>
    <w:rsid w:val="004C458B"/>
    <w:rsid w:val="004C63D8"/>
    <w:rsid w:val="004E35D0"/>
    <w:rsid w:val="004E61C2"/>
    <w:rsid w:val="004F030C"/>
    <w:rsid w:val="004F3D87"/>
    <w:rsid w:val="00500503"/>
    <w:rsid w:val="00504537"/>
    <w:rsid w:val="00512724"/>
    <w:rsid w:val="00520F5E"/>
    <w:rsid w:val="005237C4"/>
    <w:rsid w:val="00535353"/>
    <w:rsid w:val="005463F4"/>
    <w:rsid w:val="00555FBF"/>
    <w:rsid w:val="005A61CC"/>
    <w:rsid w:val="005A74C3"/>
    <w:rsid w:val="005B212C"/>
    <w:rsid w:val="005C08FA"/>
    <w:rsid w:val="005C40F9"/>
    <w:rsid w:val="005C5CFC"/>
    <w:rsid w:val="005D217B"/>
    <w:rsid w:val="005F17D4"/>
    <w:rsid w:val="005F1FB3"/>
    <w:rsid w:val="005F4A79"/>
    <w:rsid w:val="00600D46"/>
    <w:rsid w:val="00613DD9"/>
    <w:rsid w:val="00614279"/>
    <w:rsid w:val="00620CC5"/>
    <w:rsid w:val="0063517A"/>
    <w:rsid w:val="0064458E"/>
    <w:rsid w:val="00644BDC"/>
    <w:rsid w:val="0064574F"/>
    <w:rsid w:val="006465C5"/>
    <w:rsid w:val="00654846"/>
    <w:rsid w:val="006577D7"/>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50E1"/>
    <w:rsid w:val="00722B80"/>
    <w:rsid w:val="00757738"/>
    <w:rsid w:val="00763018"/>
    <w:rsid w:val="00774A2B"/>
    <w:rsid w:val="007755F6"/>
    <w:rsid w:val="00780CCE"/>
    <w:rsid w:val="007862BD"/>
    <w:rsid w:val="00793514"/>
    <w:rsid w:val="007977D0"/>
    <w:rsid w:val="007A040E"/>
    <w:rsid w:val="007A2C34"/>
    <w:rsid w:val="007A7335"/>
    <w:rsid w:val="007B455D"/>
    <w:rsid w:val="007E128E"/>
    <w:rsid w:val="007E4176"/>
    <w:rsid w:val="007F2F12"/>
    <w:rsid w:val="00801B02"/>
    <w:rsid w:val="00812FF0"/>
    <w:rsid w:val="00820D75"/>
    <w:rsid w:val="00821688"/>
    <w:rsid w:val="008219AB"/>
    <w:rsid w:val="0082467E"/>
    <w:rsid w:val="008271F6"/>
    <w:rsid w:val="00832281"/>
    <w:rsid w:val="00832A42"/>
    <w:rsid w:val="0083319A"/>
    <w:rsid w:val="00833649"/>
    <w:rsid w:val="00864F61"/>
    <w:rsid w:val="008667F9"/>
    <w:rsid w:val="008714D7"/>
    <w:rsid w:val="00875906"/>
    <w:rsid w:val="00883771"/>
    <w:rsid w:val="0089089A"/>
    <w:rsid w:val="008A7FFE"/>
    <w:rsid w:val="008B06DE"/>
    <w:rsid w:val="008B10F9"/>
    <w:rsid w:val="008B6B8E"/>
    <w:rsid w:val="008B6F95"/>
    <w:rsid w:val="008C0D2B"/>
    <w:rsid w:val="008C44B6"/>
    <w:rsid w:val="008C57F6"/>
    <w:rsid w:val="008C6567"/>
    <w:rsid w:val="008D5528"/>
    <w:rsid w:val="0090334E"/>
    <w:rsid w:val="009037AF"/>
    <w:rsid w:val="00912B18"/>
    <w:rsid w:val="00922A6D"/>
    <w:rsid w:val="00927A0D"/>
    <w:rsid w:val="00927EF0"/>
    <w:rsid w:val="00933C83"/>
    <w:rsid w:val="00936542"/>
    <w:rsid w:val="00940447"/>
    <w:rsid w:val="00944330"/>
    <w:rsid w:val="009459C3"/>
    <w:rsid w:val="0095075D"/>
    <w:rsid w:val="0095190E"/>
    <w:rsid w:val="0096439D"/>
    <w:rsid w:val="009679F7"/>
    <w:rsid w:val="00972224"/>
    <w:rsid w:val="0098369B"/>
    <w:rsid w:val="00990086"/>
    <w:rsid w:val="009939EF"/>
    <w:rsid w:val="00994DC4"/>
    <w:rsid w:val="009A1012"/>
    <w:rsid w:val="009A10B6"/>
    <w:rsid w:val="009A2CBA"/>
    <w:rsid w:val="009B472E"/>
    <w:rsid w:val="009B53D8"/>
    <w:rsid w:val="009B7504"/>
    <w:rsid w:val="009C6CE8"/>
    <w:rsid w:val="009C6F42"/>
    <w:rsid w:val="009E1F25"/>
    <w:rsid w:val="009E489B"/>
    <w:rsid w:val="009F3454"/>
    <w:rsid w:val="00A03908"/>
    <w:rsid w:val="00A24F93"/>
    <w:rsid w:val="00A413D5"/>
    <w:rsid w:val="00A47BAD"/>
    <w:rsid w:val="00A47D5F"/>
    <w:rsid w:val="00A52BEC"/>
    <w:rsid w:val="00A862A4"/>
    <w:rsid w:val="00A92BA2"/>
    <w:rsid w:val="00A973D9"/>
    <w:rsid w:val="00AA1C3B"/>
    <w:rsid w:val="00AA2435"/>
    <w:rsid w:val="00AA49B9"/>
    <w:rsid w:val="00AB6124"/>
    <w:rsid w:val="00AB7A77"/>
    <w:rsid w:val="00AC560D"/>
    <w:rsid w:val="00AD19E4"/>
    <w:rsid w:val="00AD3673"/>
    <w:rsid w:val="00AD4A48"/>
    <w:rsid w:val="00AE40E2"/>
    <w:rsid w:val="00AE4928"/>
    <w:rsid w:val="00B04E9C"/>
    <w:rsid w:val="00B11BE8"/>
    <w:rsid w:val="00B1354A"/>
    <w:rsid w:val="00B43413"/>
    <w:rsid w:val="00B51F07"/>
    <w:rsid w:val="00B55AA9"/>
    <w:rsid w:val="00B605B3"/>
    <w:rsid w:val="00B6409D"/>
    <w:rsid w:val="00B65A78"/>
    <w:rsid w:val="00B75D21"/>
    <w:rsid w:val="00B82F44"/>
    <w:rsid w:val="00B854DA"/>
    <w:rsid w:val="00B94BF6"/>
    <w:rsid w:val="00BB3CE8"/>
    <w:rsid w:val="00BB43FD"/>
    <w:rsid w:val="00BC3ED9"/>
    <w:rsid w:val="00BD0579"/>
    <w:rsid w:val="00BD1D69"/>
    <w:rsid w:val="00BD247D"/>
    <w:rsid w:val="00BE7E71"/>
    <w:rsid w:val="00BF5744"/>
    <w:rsid w:val="00C0615F"/>
    <w:rsid w:val="00C10FB4"/>
    <w:rsid w:val="00C15A97"/>
    <w:rsid w:val="00C16757"/>
    <w:rsid w:val="00C17A11"/>
    <w:rsid w:val="00C36946"/>
    <w:rsid w:val="00C41104"/>
    <w:rsid w:val="00C42CAD"/>
    <w:rsid w:val="00C46B9E"/>
    <w:rsid w:val="00C527C3"/>
    <w:rsid w:val="00C552DE"/>
    <w:rsid w:val="00C613B0"/>
    <w:rsid w:val="00C666BD"/>
    <w:rsid w:val="00C71560"/>
    <w:rsid w:val="00C723A7"/>
    <w:rsid w:val="00C80F74"/>
    <w:rsid w:val="00C8621F"/>
    <w:rsid w:val="00CA1872"/>
    <w:rsid w:val="00CA1D5A"/>
    <w:rsid w:val="00CA5910"/>
    <w:rsid w:val="00CA6A88"/>
    <w:rsid w:val="00CB18D5"/>
    <w:rsid w:val="00CB393B"/>
    <w:rsid w:val="00CD02EB"/>
    <w:rsid w:val="00CF2384"/>
    <w:rsid w:val="00CF37B7"/>
    <w:rsid w:val="00CF7C33"/>
    <w:rsid w:val="00D17EF8"/>
    <w:rsid w:val="00D31E05"/>
    <w:rsid w:val="00D42313"/>
    <w:rsid w:val="00D45220"/>
    <w:rsid w:val="00D51EF8"/>
    <w:rsid w:val="00D532DF"/>
    <w:rsid w:val="00D5683A"/>
    <w:rsid w:val="00D6075F"/>
    <w:rsid w:val="00D64A8A"/>
    <w:rsid w:val="00D74A8F"/>
    <w:rsid w:val="00D8155F"/>
    <w:rsid w:val="00D83830"/>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255F"/>
    <w:rsid w:val="00DF4C21"/>
    <w:rsid w:val="00E07E81"/>
    <w:rsid w:val="00E10E84"/>
    <w:rsid w:val="00E16D83"/>
    <w:rsid w:val="00E30C2C"/>
    <w:rsid w:val="00E311DC"/>
    <w:rsid w:val="00E31752"/>
    <w:rsid w:val="00E3534A"/>
    <w:rsid w:val="00E4444A"/>
    <w:rsid w:val="00E66470"/>
    <w:rsid w:val="00E95DE1"/>
    <w:rsid w:val="00E97E26"/>
    <w:rsid w:val="00EA1B72"/>
    <w:rsid w:val="00EA3A1A"/>
    <w:rsid w:val="00EA49A8"/>
    <w:rsid w:val="00EB0314"/>
    <w:rsid w:val="00EB2DD7"/>
    <w:rsid w:val="00EB56F6"/>
    <w:rsid w:val="00EC0471"/>
    <w:rsid w:val="00EC3C0E"/>
    <w:rsid w:val="00ED39C3"/>
    <w:rsid w:val="00EE41E2"/>
    <w:rsid w:val="00EF1953"/>
    <w:rsid w:val="00EF2D9E"/>
    <w:rsid w:val="00EF3BC8"/>
    <w:rsid w:val="00F003DC"/>
    <w:rsid w:val="00F023FE"/>
    <w:rsid w:val="00F0773C"/>
    <w:rsid w:val="00F10ABD"/>
    <w:rsid w:val="00F1558B"/>
    <w:rsid w:val="00F15B84"/>
    <w:rsid w:val="00F16CBD"/>
    <w:rsid w:val="00F17078"/>
    <w:rsid w:val="00F21394"/>
    <w:rsid w:val="00F33F66"/>
    <w:rsid w:val="00F4233A"/>
    <w:rsid w:val="00F43272"/>
    <w:rsid w:val="00F50B67"/>
    <w:rsid w:val="00F52831"/>
    <w:rsid w:val="00F53B73"/>
    <w:rsid w:val="00F53D3E"/>
    <w:rsid w:val="00F56C3E"/>
    <w:rsid w:val="00F60C95"/>
    <w:rsid w:val="00F61714"/>
    <w:rsid w:val="00F7015E"/>
    <w:rsid w:val="00F7297C"/>
    <w:rsid w:val="00F828AE"/>
    <w:rsid w:val="00F85ED6"/>
    <w:rsid w:val="00F9398C"/>
    <w:rsid w:val="00F9535D"/>
    <w:rsid w:val="00F97BF7"/>
    <w:rsid w:val="00FA2710"/>
    <w:rsid w:val="00FA5090"/>
    <w:rsid w:val="00FB554A"/>
    <w:rsid w:val="00FB588A"/>
    <w:rsid w:val="00FC0694"/>
    <w:rsid w:val="00FC6F29"/>
    <w:rsid w:val="00FD1341"/>
    <w:rsid w:val="00FE3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5614</Words>
  <Characters>32448</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2012-05-13T19:54:00Z</cp:lastPrinted>
  <dcterms:created xsi:type="dcterms:W3CDTF">2012-05-14T12:11:00Z</dcterms:created>
  <dcterms:modified xsi:type="dcterms:W3CDTF">2012-05-14T12:11:00Z</dcterms:modified>
  <cp:category> </cp:category>
  <cp:contentStatus> </cp:contentStatus>
</cp:coreProperties>
</file>