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F9535D" w:rsidRPr="00B82F44" w:rsidRDefault="00F9535D" w:rsidP="00D8155F">
      <w:pPr>
        <w:pStyle w:val="BlockText"/>
        <w:jc w:val="center"/>
        <w:rPr>
          <w:b/>
          <w:sz w:val="28"/>
          <w:szCs w:val="28"/>
        </w:rPr>
      </w:pPr>
      <w:r w:rsidRPr="00B82F44">
        <w:rPr>
          <w:b/>
          <w:sz w:val="28"/>
          <w:szCs w:val="28"/>
        </w:rPr>
        <w:t>Construction Law Committee</w:t>
      </w:r>
    </w:p>
    <w:p w:rsidR="009A10B6" w:rsidRDefault="009A10B6" w:rsidP="00D8155F">
      <w:pPr>
        <w:pStyle w:val="BlockText"/>
        <w:jc w:val="center"/>
        <w:rPr>
          <w:b/>
        </w:rPr>
      </w:pPr>
    </w:p>
    <w:p w:rsidR="009E1F25" w:rsidRPr="001476D7" w:rsidRDefault="009E1F25" w:rsidP="00D8155F">
      <w:pPr>
        <w:pStyle w:val="BlockText"/>
        <w:jc w:val="center"/>
        <w:rPr>
          <w:b/>
        </w:rPr>
      </w:pPr>
    </w:p>
    <w:p w:rsidR="00F9535D" w:rsidRPr="001476D7" w:rsidRDefault="00DE5A5D" w:rsidP="00D8155F">
      <w:pPr>
        <w:pStyle w:val="BlockText"/>
        <w:jc w:val="center"/>
        <w:rPr>
          <w:b/>
          <w:i/>
          <w:u w:val="single"/>
        </w:rPr>
      </w:pPr>
      <w:r>
        <w:rPr>
          <w:b/>
          <w:i/>
          <w:u w:val="single"/>
        </w:rPr>
        <w:t>Construction Regulation</w:t>
      </w:r>
      <w:r w:rsidR="00F9535D" w:rsidRPr="001476D7">
        <w:rPr>
          <w:b/>
          <w:i/>
          <w:u w:val="single"/>
        </w:rPr>
        <w:t xml:space="preserve"> Subcommittee</w:t>
      </w:r>
      <w:r w:rsidR="00251EB1" w:rsidRPr="001476D7">
        <w:rPr>
          <w:b/>
          <w:i/>
          <w:u w:val="single"/>
        </w:rPr>
        <w:t xml:space="preserve"> Monthly Report</w:t>
      </w:r>
    </w:p>
    <w:p w:rsidR="00F9535D" w:rsidRDefault="001476D7" w:rsidP="00D8155F">
      <w:pPr>
        <w:pStyle w:val="BlockText"/>
        <w:jc w:val="center"/>
      </w:pPr>
      <w:r>
        <w:t>Month of</w:t>
      </w:r>
      <w:r w:rsidR="005D217B">
        <w:t>: November</w:t>
      </w:r>
      <w:r w:rsidR="00BB3CE8">
        <w:t xml:space="preserve"> </w:t>
      </w:r>
      <w:r w:rsidR="004A582F">
        <w:t>2011</w:t>
      </w:r>
    </w:p>
    <w:p w:rsidR="00D9771C" w:rsidRDefault="00D9771C" w:rsidP="00F9535D">
      <w:pPr>
        <w:pStyle w:val="BlockText"/>
      </w:pPr>
    </w:p>
    <w:p w:rsidR="00D9771C" w:rsidRDefault="00D9771C" w:rsidP="00D9771C">
      <w:pPr>
        <w:pStyle w:val="BlockText"/>
        <w:rPr>
          <w:b/>
          <w:u w:val="single"/>
        </w:rPr>
      </w:pPr>
      <w:r w:rsidRPr="00D9771C">
        <w:rPr>
          <w:b/>
          <w:u w:val="single"/>
        </w:rPr>
        <w:t>Appellate Decisions:</w:t>
      </w:r>
    </w:p>
    <w:p w:rsidR="00B43413" w:rsidRDefault="00B43413" w:rsidP="00D9771C">
      <w:pPr>
        <w:pStyle w:val="BlockText"/>
        <w:rPr>
          <w:b/>
          <w:u w:val="single"/>
        </w:rPr>
      </w:pPr>
    </w:p>
    <w:p w:rsidR="00210263" w:rsidRDefault="00B43413" w:rsidP="005D217B">
      <w:pPr>
        <w:pStyle w:val="BlockText"/>
      </w:pPr>
      <w:r>
        <w:tab/>
      </w:r>
      <w:r w:rsidR="00F50B67">
        <w:rPr>
          <w:i/>
          <w:u w:val="single"/>
        </w:rPr>
        <w:t>Ness Racquet Club, LLC v. Ocean Four 2108, LLC</w:t>
      </w:r>
      <w:r w:rsidR="00210263" w:rsidRPr="00210263">
        <w:rPr>
          <w:i/>
          <w:u w:val="single"/>
        </w:rPr>
        <w:t>,</w:t>
      </w:r>
      <w:r w:rsidR="00210263">
        <w:t xml:space="preserve"> </w:t>
      </w:r>
      <w:r w:rsidR="00F50B67">
        <w:t>Case No. 3D10-3039, filed October 5, 2011: Sua sponte summary judgment in favor of condominium purchaser against developer for breach of contract and return of deposits was reversed to give original movant an opportunity to be heard and due to existence of disputed and genuine issues of material fact regarding breach. Note: Opinion also points out that an irrebuttable presumption that issuance of a temporary certification of occupancy is not unconstitutional because it was contained in a contract between private parties.</w:t>
      </w:r>
    </w:p>
    <w:p w:rsidR="00F50B67" w:rsidRDefault="00F50B67" w:rsidP="005D217B">
      <w:pPr>
        <w:pStyle w:val="BlockText"/>
      </w:pPr>
    </w:p>
    <w:p w:rsidR="00F50B67" w:rsidRDefault="00F50B67" w:rsidP="005D217B">
      <w:pPr>
        <w:pStyle w:val="BlockText"/>
      </w:pPr>
      <w:r>
        <w:tab/>
      </w:r>
      <w:r w:rsidRPr="00F50B67">
        <w:rPr>
          <w:u w:val="single"/>
        </w:rPr>
        <w:t>Stock Building Supply of Florida, Inc., v. Soares DA Consta Construction Services, LLC</w:t>
      </w:r>
      <w:r>
        <w:rPr>
          <w:i/>
        </w:rPr>
        <w:t xml:space="preserve">, </w:t>
      </w:r>
      <w:r>
        <w:t>Case No. 3D10-928, filed October 5, 2011: Where a payment bond has been attached to the Notice of Commencement (subsequent to the owner’s statutory termination of a prior Notice of Commencement that had been recorded witho</w:t>
      </w:r>
      <w:r w:rsidR="00D9374F">
        <w:t xml:space="preserve">ut any bond attached), </w:t>
      </w:r>
      <w:r>
        <w:t>supplier</w:t>
      </w:r>
      <w:r w:rsidR="00D9374F">
        <w:t xml:space="preserve"> to a subcontractor lost its claim against the bond for failure to serve a copy of Notice to Contractor on the contractor. The dissent (Schwartz) applied </w:t>
      </w:r>
      <w:r w:rsidR="00D9374F" w:rsidRPr="00D9374F">
        <w:rPr>
          <w:i/>
          <w:u w:val="single"/>
        </w:rPr>
        <w:t>Aetna Causality v. Buck</w:t>
      </w:r>
      <w:r w:rsidR="00D9374F">
        <w:t>, 594 So. 2d 280, Fla. 1992) due to the fact that the lienor and the contractor shared a “common identity”).</w:t>
      </w:r>
    </w:p>
    <w:p w:rsidR="00D9374F" w:rsidRDefault="00D9374F" w:rsidP="005D217B">
      <w:pPr>
        <w:pStyle w:val="BlockText"/>
      </w:pPr>
    </w:p>
    <w:p w:rsidR="00D9374F" w:rsidRDefault="00D9374F" w:rsidP="005D217B">
      <w:pPr>
        <w:pStyle w:val="BlockText"/>
      </w:pPr>
      <w:r>
        <w:tab/>
      </w:r>
      <w:r w:rsidRPr="00D9374F">
        <w:rPr>
          <w:i/>
          <w:u w:val="single"/>
        </w:rPr>
        <w:t>Speegle Construction Company, Inc. v. District Board of Trustees of Northwest Florida State College</w:t>
      </w:r>
      <w:r>
        <w:t>, Case No. 1D10-5779, filed October 6, 2011: Trial court order granting stay of arbitration was reversed based on unaltered terms of AIA Document A201-1997 General Conditions of the Contract for Construction, notwithstanding use of a “Supplemental General Conditions” agreement that deleted that provisions for arbitration but which referred to a “1987 Edition.”</w:t>
      </w:r>
    </w:p>
    <w:p w:rsidR="00D9374F" w:rsidRDefault="00D9374F" w:rsidP="005D217B">
      <w:pPr>
        <w:pStyle w:val="BlockText"/>
      </w:pPr>
    </w:p>
    <w:p w:rsidR="00D9374F" w:rsidRDefault="00D9374F" w:rsidP="005D217B">
      <w:pPr>
        <w:pStyle w:val="BlockText"/>
      </w:pPr>
      <w:r>
        <w:tab/>
      </w:r>
      <w:r w:rsidRPr="0064574F">
        <w:rPr>
          <w:i/>
          <w:u w:val="single"/>
        </w:rPr>
        <w:t>Internatio</w:t>
      </w:r>
      <w:r w:rsidR="0064574F" w:rsidRPr="0064574F">
        <w:rPr>
          <w:i/>
          <w:u w:val="single"/>
        </w:rPr>
        <w:t>nal Engineering Services v. Sche</w:t>
      </w:r>
      <w:r w:rsidRPr="0064574F">
        <w:rPr>
          <w:i/>
          <w:u w:val="single"/>
        </w:rPr>
        <w:t>rer Construction &amp; Engineering of Central Florida, LLC</w:t>
      </w:r>
      <w:r>
        <w:t xml:space="preserve">., Case No. 5D10-2764, filed October 21, 2011: </w:t>
      </w:r>
      <w:r w:rsidR="0064574F">
        <w:t xml:space="preserve">Pay-when-paid clause in a subcontract was found to be ambiguous and unenforceable. While the subcontract language regarding payment was clear and unambiguous by itself, the subcontract also incorporated the terms of the prime contract by reference, and the final payment provision therein was ambiguous. Editor’s Note: This opinion contains a good discussion of pay-when-paid clauses from </w:t>
      </w:r>
      <w:r w:rsidR="0064574F" w:rsidRPr="0064574F">
        <w:rPr>
          <w:i/>
          <w:u w:val="single"/>
        </w:rPr>
        <w:t>Peacock Construction Co. v. Modern Air Conditioning, Inc.</w:t>
      </w:r>
      <w:r w:rsidR="0064574F">
        <w:t xml:space="preserve">, 353 So. 2d 840 (Fla. 1977) to </w:t>
      </w:r>
      <w:r w:rsidR="0064574F" w:rsidRPr="0064574F">
        <w:rPr>
          <w:i/>
          <w:u w:val="single"/>
        </w:rPr>
        <w:t>OB Co. v. Pace Construction Corp.</w:t>
      </w:r>
      <w:r w:rsidR="0064574F">
        <w:t>, 558 So. 2d 404 (Fla. 1990)</w:t>
      </w:r>
    </w:p>
    <w:p w:rsidR="0064574F" w:rsidRDefault="0064574F" w:rsidP="005D217B">
      <w:pPr>
        <w:pStyle w:val="BlockText"/>
      </w:pPr>
    </w:p>
    <w:p w:rsidR="0064574F" w:rsidRDefault="0064574F" w:rsidP="005D217B">
      <w:pPr>
        <w:pStyle w:val="BlockText"/>
      </w:pPr>
      <w:r>
        <w:tab/>
      </w:r>
      <w:r w:rsidRPr="0064574F">
        <w:rPr>
          <w:i/>
          <w:u w:val="single"/>
        </w:rPr>
        <w:t>Anthony R. Witkiewicz v. Acands, Inc. Flowserve Corporation</w:t>
      </w:r>
      <w:r>
        <w:t xml:space="preserve">, Case No. 4D08-1170, filed October 19, 2011: </w:t>
      </w:r>
      <w:r w:rsidR="007A040E">
        <w:t xml:space="preserve">Upheld the dismissal of several dozen asbestos cases based on the failure to satisfy the requirements of s. 774.201, F. S., and </w:t>
      </w:r>
      <w:r w:rsidR="007A040E" w:rsidRPr="007A040E">
        <w:rPr>
          <w:i/>
          <w:u w:val="single"/>
        </w:rPr>
        <w:t>American Optical Corp. v. Spiewak</w:t>
      </w:r>
      <w:r w:rsidR="007A040E">
        <w:t>, 2011 WL 2652189 (Fla. July 8, 2011)[36 Fla. L. Weekly S435a].</w:t>
      </w:r>
    </w:p>
    <w:p w:rsidR="0064574F" w:rsidRDefault="0064574F" w:rsidP="005D217B">
      <w:pPr>
        <w:pStyle w:val="BlockText"/>
      </w:pPr>
    </w:p>
    <w:p w:rsidR="0064574F" w:rsidRDefault="0064574F" w:rsidP="005D217B">
      <w:pPr>
        <w:pStyle w:val="BlockText"/>
      </w:pPr>
      <w:r>
        <w:lastRenderedPageBreak/>
        <w:tab/>
      </w:r>
      <w:r w:rsidRPr="0064574F">
        <w:rPr>
          <w:i/>
          <w:u w:val="single"/>
        </w:rPr>
        <w:t>Isl</w:t>
      </w:r>
      <w:r>
        <w:rPr>
          <w:i/>
          <w:u w:val="single"/>
        </w:rPr>
        <w:t xml:space="preserve">ander Building Company v. </w:t>
      </w:r>
      <w:r w:rsidRPr="0064574F">
        <w:rPr>
          <w:i/>
          <w:u w:val="single"/>
        </w:rPr>
        <w:t>Klaus</w:t>
      </w:r>
      <w:r>
        <w:t>, Case No.2D10-4513, filed October 21, 2011:</w:t>
      </w:r>
      <w:r w:rsidR="007A040E">
        <w:t xml:space="preserve"> Appeal of determination of entitlement to attorney fees was dismissed because the trial court had </w:t>
      </w:r>
      <w:r w:rsidR="00CB18D5">
        <w:t>reserved</w:t>
      </w:r>
      <w:r w:rsidR="007A040E">
        <w:t xml:space="preserve"> the determination of the amount of reasonable fees.</w:t>
      </w:r>
    </w:p>
    <w:p w:rsidR="0064574F" w:rsidRDefault="0064574F" w:rsidP="005D217B">
      <w:pPr>
        <w:pStyle w:val="BlockText"/>
      </w:pPr>
    </w:p>
    <w:p w:rsidR="0064574F" w:rsidRPr="00F50B67" w:rsidRDefault="0064574F" w:rsidP="005D217B">
      <w:pPr>
        <w:pStyle w:val="BlockText"/>
      </w:pPr>
      <w:r>
        <w:tab/>
      </w:r>
      <w:r w:rsidRPr="00801B02">
        <w:rPr>
          <w:i/>
          <w:u w:val="single"/>
        </w:rPr>
        <w:t>In Re; Amendments to Florida Rule Civil Procedure 1.720</w:t>
      </w:r>
      <w:r>
        <w:t>, Case No. SC10-2329, filed November 3, 2011: Effective</w:t>
      </w:r>
      <w:r w:rsidR="00801B02">
        <w:t xml:space="preserve"> January 1, 2012, the rule regarding Mediation Proced</w:t>
      </w:r>
      <w:r w:rsidR="007A040E">
        <w:t xml:space="preserve">ures has been amended as to provide for a “deemed to appear” of a party representative with full authority to settle, </w:t>
      </w:r>
      <w:r w:rsidR="00644BDC">
        <w:t>add a definition of such a person</w:t>
      </w:r>
      <w:r w:rsidR="007A040E">
        <w:t xml:space="preserve">, </w:t>
      </w:r>
      <w:r w:rsidR="007A040E" w:rsidRPr="00644BDC">
        <w:rPr>
          <w:b/>
          <w:u w:val="single"/>
        </w:rPr>
        <w:t xml:space="preserve">requiring </w:t>
      </w:r>
      <w:r w:rsidR="00644BDC" w:rsidRPr="00644BDC">
        <w:rPr>
          <w:b/>
          <w:u w:val="single"/>
        </w:rPr>
        <w:t>a 10-day prior written notice</w:t>
      </w:r>
      <w:r w:rsidR="00644BDC">
        <w:t xml:space="preserve"> (“Certificate of Authority”) or stipulation identifying such person and imposing sanctions if such person fails to appear without good cause (including mediator and attorney fees and costs). New subsection (f) provides for the sanctions, and provides that the failure to fill the Certificate of Authority creates a rebuttable presumption of a failure to appear.</w:t>
      </w:r>
    </w:p>
    <w:p w:rsidR="00EF2D9E" w:rsidRDefault="00EF2D9E" w:rsidP="00D9771C">
      <w:pPr>
        <w:pStyle w:val="BlockText"/>
        <w:rPr>
          <w:b/>
          <w:u w:val="single"/>
        </w:rPr>
      </w:pPr>
    </w:p>
    <w:p w:rsidR="00D9771C" w:rsidRDefault="00D9771C" w:rsidP="00D9771C">
      <w:pPr>
        <w:pStyle w:val="BlockText"/>
      </w:pPr>
      <w:r w:rsidRPr="00D9771C">
        <w:rPr>
          <w:b/>
          <w:u w:val="single"/>
        </w:rPr>
        <w:t>DOAH Orders:</w:t>
      </w:r>
      <w:r w:rsidR="0083319A">
        <w:t xml:space="preserve"> </w:t>
      </w:r>
    </w:p>
    <w:p w:rsidR="00940447" w:rsidRDefault="00940447" w:rsidP="00D9771C">
      <w:pPr>
        <w:pStyle w:val="BlockText"/>
      </w:pPr>
    </w:p>
    <w:p w:rsidR="00286558" w:rsidRDefault="00940447" w:rsidP="00BB3CE8">
      <w:pPr>
        <w:pStyle w:val="BlockText"/>
      </w:pPr>
      <w:r>
        <w:tab/>
      </w:r>
      <w:r w:rsidR="00F85ED6">
        <w:t>(Nothing new to report)</w:t>
      </w:r>
    </w:p>
    <w:p w:rsidR="00675E10" w:rsidRDefault="00675E10" w:rsidP="00F9535D">
      <w:pPr>
        <w:pStyle w:val="BlockText"/>
        <w:rPr>
          <w:b/>
          <w:u w:val="single"/>
        </w:rPr>
      </w:pPr>
    </w:p>
    <w:p w:rsidR="009E1F25" w:rsidRDefault="00D9771C" w:rsidP="00F9535D">
      <w:pPr>
        <w:pStyle w:val="BlockText"/>
        <w:rPr>
          <w:b/>
        </w:rPr>
      </w:pPr>
      <w:r w:rsidRPr="00D9771C">
        <w:rPr>
          <w:b/>
          <w:u w:val="single"/>
        </w:rPr>
        <w:t>Agency Actions:</w:t>
      </w:r>
      <w:r w:rsidR="00AE4928">
        <w:rPr>
          <w:b/>
        </w:rPr>
        <w:t xml:space="preserve"> </w:t>
      </w:r>
    </w:p>
    <w:p w:rsidR="00C666BD" w:rsidRDefault="00C666BD" w:rsidP="00F9535D">
      <w:pPr>
        <w:pStyle w:val="BlockText"/>
        <w:rPr>
          <w:b/>
        </w:rPr>
      </w:pPr>
    </w:p>
    <w:p w:rsidR="00D9771C" w:rsidRPr="00AE4928" w:rsidRDefault="00936542" w:rsidP="00F9535D">
      <w:pPr>
        <w:pStyle w:val="BlockText"/>
        <w:rPr>
          <w:b/>
        </w:rPr>
      </w:pPr>
      <w:r>
        <w:rPr>
          <w:b/>
        </w:rPr>
        <w:t>S</w:t>
      </w:r>
      <w:r w:rsidR="00236AB0">
        <w:rPr>
          <w:b/>
        </w:rPr>
        <w:t>tate agencies are</w:t>
      </w:r>
      <w:r w:rsidR="00AE4928">
        <w:rPr>
          <w:b/>
        </w:rPr>
        <w:t xml:space="preserve"> beginning to </w:t>
      </w:r>
      <w:r w:rsidR="00236AB0">
        <w:rPr>
          <w:b/>
        </w:rPr>
        <w:t xml:space="preserve">again promulgate rules </w:t>
      </w:r>
      <w:r w:rsidR="00AE4928">
        <w:rPr>
          <w:b/>
        </w:rPr>
        <w:t>since the Governor’s Executive Order of January, 2011, “freezing” new rules</w:t>
      </w:r>
      <w:r w:rsidR="00236AB0">
        <w:rPr>
          <w:b/>
        </w:rPr>
        <w:t xml:space="preserve"> </w:t>
      </w:r>
      <w:r w:rsidR="009459C3" w:rsidRPr="009459C3">
        <w:rPr>
          <w:b/>
          <w:u w:val="single"/>
        </w:rPr>
        <w:t xml:space="preserve">has now been stricken down by the </w:t>
      </w:r>
      <w:r w:rsidR="00222C12" w:rsidRPr="009459C3">
        <w:rPr>
          <w:b/>
          <w:u w:val="single"/>
        </w:rPr>
        <w:t>Florida</w:t>
      </w:r>
      <w:r w:rsidR="009459C3" w:rsidRPr="009459C3">
        <w:rPr>
          <w:b/>
          <w:u w:val="single"/>
        </w:rPr>
        <w:t xml:space="preserve"> Supreme Court</w:t>
      </w:r>
      <w:r w:rsidR="00722B80">
        <w:rPr>
          <w:b/>
        </w:rPr>
        <w:t>, in Whiley v. Scott</w:t>
      </w:r>
      <w:r w:rsidR="009459C3">
        <w:rPr>
          <w:b/>
        </w:rPr>
        <w:t>.</w:t>
      </w:r>
      <w:r>
        <w:rPr>
          <w:b/>
        </w:rPr>
        <w:t xml:space="preserve"> However</w:t>
      </w:r>
      <w:r w:rsidR="009A1012">
        <w:rPr>
          <w:b/>
        </w:rPr>
        <w:t xml:space="preserve">, agencies and boards </w:t>
      </w:r>
      <w:r>
        <w:rPr>
          <w:b/>
        </w:rPr>
        <w:t xml:space="preserve">are still required </w:t>
      </w:r>
      <w:r w:rsidR="009A1012">
        <w:rPr>
          <w:b/>
        </w:rPr>
        <w:t xml:space="preserve">to identify rules that are obsolete, unnecessary or provided for in federal rules, and to report all such rules to the Governor’s new Office of Economic Development; it is not yet clear if those rules will be repealed via the statutory rule-making process (Chapter 120) or presented to the 2012 legislature for statutory </w:t>
      </w:r>
      <w:r w:rsidR="00222C12">
        <w:rPr>
          <w:b/>
        </w:rPr>
        <w:t>repeal</w:t>
      </w:r>
      <w:r>
        <w:rPr>
          <w:b/>
        </w:rPr>
        <w:t>, but many of the rule repeals noted below are a result of that Executive Order.</w:t>
      </w:r>
    </w:p>
    <w:p w:rsidR="0098369B" w:rsidRDefault="0098369B" w:rsidP="00F9535D">
      <w:pPr>
        <w:pStyle w:val="BlockText"/>
      </w:pPr>
    </w:p>
    <w:p w:rsidR="00CA1872" w:rsidRDefault="00F21394" w:rsidP="00305FDE">
      <w:pPr>
        <w:pStyle w:val="BlockText"/>
        <w:numPr>
          <w:ilvl w:val="0"/>
          <w:numId w:val="30"/>
        </w:numPr>
      </w:pPr>
      <w:r>
        <w:rPr>
          <w:b/>
        </w:rPr>
        <w:t xml:space="preserve">Department of </w:t>
      </w:r>
      <w:r w:rsidR="0098369B" w:rsidRPr="0098369B">
        <w:rPr>
          <w:b/>
        </w:rPr>
        <w:t>Business and Professional Regulation</w:t>
      </w:r>
      <w:r w:rsidR="00305FDE">
        <w:rPr>
          <w:b/>
        </w:rPr>
        <w:t>.</w:t>
      </w:r>
    </w:p>
    <w:p w:rsidR="00305FDE" w:rsidRDefault="00305FDE" w:rsidP="00305FDE">
      <w:pPr>
        <w:pStyle w:val="BlockText"/>
        <w:ind w:left="720"/>
      </w:pPr>
    </w:p>
    <w:p w:rsidR="008B06DE" w:rsidRPr="00936542" w:rsidRDefault="00F9535D" w:rsidP="00936542">
      <w:pPr>
        <w:pStyle w:val="BlockText"/>
        <w:numPr>
          <w:ilvl w:val="0"/>
          <w:numId w:val="32"/>
        </w:numPr>
        <w:rPr>
          <w:b/>
        </w:rPr>
      </w:pPr>
      <w:r w:rsidRPr="00936542">
        <w:rPr>
          <w:u w:val="single"/>
        </w:rPr>
        <w:t>Constru</w:t>
      </w:r>
      <w:r w:rsidR="00CA1872" w:rsidRPr="00936542">
        <w:rPr>
          <w:u w:val="single"/>
        </w:rPr>
        <w:t>ction Industry Licensing Board</w:t>
      </w:r>
      <w:r w:rsidR="00CA1872">
        <w:t xml:space="preserve"> – Chapter 489, Part I, </w:t>
      </w:r>
      <w:r w:rsidR="00EB0314">
        <w:t xml:space="preserve">FS </w:t>
      </w:r>
      <w:r w:rsidR="00CA1872">
        <w:t xml:space="preserve">and </w:t>
      </w:r>
      <w:r w:rsidR="00EB0314">
        <w:t xml:space="preserve">Chapter </w:t>
      </w:r>
      <w:r w:rsidR="00CA1872">
        <w:t>61G4 FAC</w:t>
      </w:r>
      <w:r w:rsidR="00936542">
        <w:t xml:space="preserve">: </w:t>
      </w:r>
      <w:r w:rsidR="00936542" w:rsidRPr="00936542">
        <w:rPr>
          <w:b/>
        </w:rPr>
        <w:t>A RULES WORKSHOP WILL BE HELD ON NOVEMBER 17, 2011, FROM 9-NOON REGARDING NEW APPLICATION FORMS.</w:t>
      </w:r>
    </w:p>
    <w:p w:rsidR="00936542" w:rsidRDefault="00936542" w:rsidP="00936542">
      <w:pPr>
        <w:pStyle w:val="BlockText"/>
        <w:ind w:left="1080"/>
      </w:pPr>
    </w:p>
    <w:p w:rsidR="008B06DE" w:rsidRDefault="008B06DE" w:rsidP="008B06DE">
      <w:pPr>
        <w:pStyle w:val="BlockText"/>
        <w:numPr>
          <w:ilvl w:val="1"/>
          <w:numId w:val="32"/>
        </w:numPr>
      </w:pPr>
      <w:r>
        <w:t>This board proposed to adopt</w:t>
      </w:r>
      <w:r w:rsidR="00927EF0">
        <w:t xml:space="preserve"> or amend</w:t>
      </w:r>
      <w:r>
        <w:t xml:space="preserve"> the following rules</w:t>
      </w:r>
      <w:r w:rsidR="00927EF0">
        <w:t xml:space="preserve"> (if any):</w:t>
      </w:r>
    </w:p>
    <w:p w:rsidR="009B7504" w:rsidRDefault="009B7504" w:rsidP="009B7504">
      <w:pPr>
        <w:pStyle w:val="BlockText"/>
        <w:ind w:left="1800"/>
      </w:pPr>
    </w:p>
    <w:p w:rsidR="009B7504" w:rsidRDefault="009B7504" w:rsidP="009B7504">
      <w:pPr>
        <w:pStyle w:val="BlockText"/>
        <w:numPr>
          <w:ilvl w:val="2"/>
          <w:numId w:val="32"/>
        </w:numPr>
      </w:pPr>
      <w:r>
        <w:t>61G4-15.001 to modify language for the alternative experience required under s. 489.111(2)(c) 1.-3., for swimming pool/spa servicing applicants.</w:t>
      </w:r>
    </w:p>
    <w:p w:rsidR="008B06DE" w:rsidRDefault="008B06DE" w:rsidP="008B06DE">
      <w:pPr>
        <w:pStyle w:val="BlockText"/>
      </w:pPr>
    </w:p>
    <w:p w:rsidR="008B06DE" w:rsidRDefault="008B06DE" w:rsidP="009B53D8">
      <w:pPr>
        <w:pStyle w:val="BlockText"/>
        <w:numPr>
          <w:ilvl w:val="1"/>
          <w:numId w:val="32"/>
        </w:numPr>
      </w:pPr>
      <w:r>
        <w:t>This</w:t>
      </w:r>
      <w:r w:rsidR="00722B80">
        <w:t xml:space="preserve"> board </w:t>
      </w:r>
      <w:r>
        <w:t>has received</w:t>
      </w:r>
      <w:r w:rsidR="002F015B">
        <w:t xml:space="preserve"> </w:t>
      </w:r>
      <w:r>
        <w:t>the following Petitions for Declaratory Statement</w:t>
      </w:r>
      <w:r w:rsidR="00927EF0">
        <w:t xml:space="preserve"> (if any)</w:t>
      </w:r>
      <w:r>
        <w:t>:</w:t>
      </w:r>
    </w:p>
    <w:p w:rsidR="008B06DE" w:rsidRDefault="008B06DE" w:rsidP="008B06DE">
      <w:pPr>
        <w:pStyle w:val="ListParagraph"/>
      </w:pPr>
    </w:p>
    <w:p w:rsidR="008B06DE" w:rsidRDefault="008B06DE" w:rsidP="008B06DE">
      <w:pPr>
        <w:pStyle w:val="BlockText"/>
        <w:numPr>
          <w:ilvl w:val="2"/>
          <w:numId w:val="32"/>
        </w:numPr>
      </w:pPr>
      <w:r>
        <w:t>Mitsubishi Power Systems American, Inc., regarding s. 489.113, whether a contractor’s license is required to design, manufacture, sell and service electrical power generation equipment (withdrawn prior to hearing).</w:t>
      </w:r>
    </w:p>
    <w:p w:rsidR="00927EF0" w:rsidRDefault="00927EF0" w:rsidP="00927EF0">
      <w:pPr>
        <w:pStyle w:val="BlockText"/>
        <w:ind w:left="2520"/>
      </w:pPr>
    </w:p>
    <w:p w:rsidR="008B06DE" w:rsidRDefault="008B06DE" w:rsidP="008B06DE">
      <w:pPr>
        <w:pStyle w:val="BlockText"/>
        <w:numPr>
          <w:ilvl w:val="2"/>
          <w:numId w:val="32"/>
        </w:numPr>
      </w:pPr>
      <w:r>
        <w:lastRenderedPageBreak/>
        <w:t>General Plumbing, Inc., regarding s. 489.105(3), whether installation of a pool lift and providing an independent water supply is within the scope of a building contractor’s license.</w:t>
      </w:r>
    </w:p>
    <w:p w:rsidR="00927EF0" w:rsidRDefault="00927EF0" w:rsidP="00927EF0">
      <w:pPr>
        <w:pStyle w:val="BlockText"/>
      </w:pPr>
    </w:p>
    <w:p w:rsidR="008B06DE" w:rsidRDefault="008B06DE" w:rsidP="008B06DE">
      <w:pPr>
        <w:pStyle w:val="BlockText"/>
        <w:numPr>
          <w:ilvl w:val="2"/>
          <w:numId w:val="32"/>
        </w:numPr>
      </w:pPr>
      <w:r>
        <w:t xml:space="preserve">Robert J. Koning, regarding </w:t>
      </w:r>
      <w:r w:rsidR="002F015B">
        <w:t>s. 468.841, and s. 468.84411, whether mold related services (including remediation and assessment) is within the scope of a Division I contractor license. By order entered on September 20, 2011, the board granted this petition that such work  is within the scope of a Division I license as long as the services are otherwise related to the contractor’s scope of work.</w:t>
      </w:r>
    </w:p>
    <w:p w:rsidR="00927EF0" w:rsidRDefault="00927EF0" w:rsidP="00927EF0">
      <w:pPr>
        <w:pStyle w:val="BlockText"/>
        <w:ind w:left="2520"/>
      </w:pPr>
    </w:p>
    <w:p w:rsidR="002F015B" w:rsidRDefault="002F015B" w:rsidP="008B06DE">
      <w:pPr>
        <w:pStyle w:val="BlockText"/>
        <w:numPr>
          <w:ilvl w:val="2"/>
          <w:numId w:val="32"/>
        </w:numPr>
      </w:pPr>
      <w:r>
        <w:t>Alejandro Arguelies, regarding s. 489.105(3)(o), whether a contractor needs a solar contractor’s license. By order entered on September 21, 2011, the board granted this petition that such a contractor is not required to become a solar contractor or to contract with a solar contractor to provide services that are otherwise within such contractor’s scope of work.</w:t>
      </w:r>
    </w:p>
    <w:p w:rsidR="00927EF0" w:rsidRDefault="00927EF0" w:rsidP="00927EF0">
      <w:pPr>
        <w:pStyle w:val="BlockText"/>
      </w:pPr>
    </w:p>
    <w:p w:rsidR="002F015B" w:rsidRDefault="002F015B" w:rsidP="008B06DE">
      <w:pPr>
        <w:pStyle w:val="BlockText"/>
        <w:numPr>
          <w:ilvl w:val="2"/>
          <w:numId w:val="32"/>
        </w:numPr>
      </w:pPr>
      <w:r>
        <w:t>John Versmaes, regarding s. 489.105(3)(a), and (e), but by order dated September 20, 2011, this petition was denied based on lack of standing, petitioner is not substantially affected, and the inquiry was regarding the conduct of others.</w:t>
      </w:r>
    </w:p>
    <w:p w:rsidR="00927EF0" w:rsidRDefault="00927EF0" w:rsidP="00927EF0">
      <w:pPr>
        <w:pStyle w:val="BlockText"/>
      </w:pPr>
    </w:p>
    <w:p w:rsidR="002F015B" w:rsidRDefault="002F015B" w:rsidP="002F015B">
      <w:pPr>
        <w:pStyle w:val="BlockText"/>
        <w:numPr>
          <w:ilvl w:val="2"/>
          <w:numId w:val="32"/>
        </w:numPr>
      </w:pPr>
      <w:r>
        <w:t>John Garner, Sr., regarding s. 489.105(3)(i), (k) and (l), but by order dated September 20, 2011, this petition was denied based on lack of standing, petitioner is not substantially affected, and the inquiry was regarding the conduct of others.</w:t>
      </w:r>
    </w:p>
    <w:p w:rsidR="00CA5910" w:rsidRDefault="00CA5910" w:rsidP="00CA5910">
      <w:pPr>
        <w:pStyle w:val="ListParagraph"/>
      </w:pPr>
    </w:p>
    <w:p w:rsidR="00CA5910" w:rsidRDefault="00CA5910" w:rsidP="002F015B">
      <w:pPr>
        <w:pStyle w:val="BlockText"/>
        <w:numPr>
          <w:ilvl w:val="2"/>
          <w:numId w:val="32"/>
        </w:numPr>
      </w:pPr>
      <w:r>
        <w:t>Paul J. Del Vecchio, regarding s. 489.105(a), (b) and (c), regarding whether construction management as a service that oversees the management of construction activities on a given project is exclusive to a licensed contractor or amy be performed by an unlicensed individual or entity.</w:t>
      </w:r>
    </w:p>
    <w:p w:rsidR="00CA5910" w:rsidRDefault="00CA5910" w:rsidP="00CA5910">
      <w:pPr>
        <w:pStyle w:val="ListParagraph"/>
      </w:pPr>
    </w:p>
    <w:p w:rsidR="00CA5910" w:rsidRDefault="00CA5910" w:rsidP="002F015B">
      <w:pPr>
        <w:pStyle w:val="BlockText"/>
        <w:numPr>
          <w:ilvl w:val="2"/>
          <w:numId w:val="32"/>
        </w:numPr>
      </w:pPr>
      <w:r>
        <w:t>Mark A. Annunziata, regarding s. 489.105, whether a certified state residential contractor is permitted to act as a prime contractor.</w:t>
      </w:r>
    </w:p>
    <w:p w:rsidR="00CA5910" w:rsidRDefault="00CA5910" w:rsidP="00CA5910">
      <w:pPr>
        <w:pStyle w:val="ListParagraph"/>
      </w:pPr>
    </w:p>
    <w:p w:rsidR="00CA5910" w:rsidRDefault="00CA5910" w:rsidP="002F015B">
      <w:pPr>
        <w:pStyle w:val="BlockText"/>
        <w:numPr>
          <w:ilvl w:val="2"/>
          <w:numId w:val="32"/>
        </w:numPr>
      </w:pPr>
      <w:r>
        <w:t>Jack Westenbarger, regarding s. 489.105, was denied because is would require a direct interpretation of the Florida Building Code rather than chapter 489.</w:t>
      </w:r>
    </w:p>
    <w:p w:rsidR="00CA5910" w:rsidRDefault="00CA5910" w:rsidP="00CA5910">
      <w:pPr>
        <w:pStyle w:val="ListParagraph"/>
      </w:pPr>
    </w:p>
    <w:p w:rsidR="00CA5910" w:rsidRDefault="00CA5910" w:rsidP="002F015B">
      <w:pPr>
        <w:pStyle w:val="BlockText"/>
        <w:numPr>
          <w:ilvl w:val="2"/>
          <w:numId w:val="32"/>
        </w:numPr>
      </w:pPr>
      <w:r>
        <w:t>Ehren O’Donnell (ATT Sports, Inc.), was granted that paving the asphalt/concrete or for installing synthetic running tracks does not require a construction license if no structural work was included.</w:t>
      </w:r>
    </w:p>
    <w:p w:rsidR="00CA5910" w:rsidRDefault="00CA5910" w:rsidP="00CA5910">
      <w:pPr>
        <w:pStyle w:val="ListParagraph"/>
      </w:pPr>
    </w:p>
    <w:p w:rsidR="00CA5910" w:rsidRDefault="00CA5910" w:rsidP="002F015B">
      <w:pPr>
        <w:pStyle w:val="BlockText"/>
        <w:numPr>
          <w:ilvl w:val="2"/>
          <w:numId w:val="32"/>
        </w:numPr>
      </w:pPr>
      <w:r>
        <w:t>Jeffrey Mahlstedt, was granted that installation of a self-contained modular solar-powered attic fan is within the scope of a roofing contractor’s license.</w:t>
      </w:r>
    </w:p>
    <w:p w:rsidR="00CA5910" w:rsidRDefault="00CA5910" w:rsidP="00CA5910">
      <w:pPr>
        <w:pStyle w:val="ListParagraph"/>
      </w:pPr>
    </w:p>
    <w:p w:rsidR="00CA5910" w:rsidRDefault="00CA5910" w:rsidP="002F015B">
      <w:pPr>
        <w:pStyle w:val="BlockText"/>
        <w:numPr>
          <w:ilvl w:val="2"/>
          <w:numId w:val="32"/>
        </w:numPr>
      </w:pPr>
      <w:r>
        <w:t xml:space="preserve">Holli Gorby, regarding </w:t>
      </w:r>
      <w:r w:rsidR="005C08FA">
        <w:t>license required for sell</w:t>
      </w:r>
      <w:r>
        <w:t>ing and servicing hot water systems</w:t>
      </w:r>
      <w:r w:rsidR="005C08FA">
        <w:t>, was denied for lack of standing.</w:t>
      </w:r>
    </w:p>
    <w:p w:rsidR="00936542" w:rsidRDefault="00936542" w:rsidP="00936542">
      <w:pPr>
        <w:pStyle w:val="ListParagraph"/>
      </w:pPr>
    </w:p>
    <w:p w:rsidR="00936542" w:rsidRDefault="00936542" w:rsidP="00936542">
      <w:pPr>
        <w:pStyle w:val="BlockText"/>
        <w:numPr>
          <w:ilvl w:val="2"/>
          <w:numId w:val="32"/>
        </w:numPr>
      </w:pPr>
      <w:r>
        <w:t>Lawrence B. Lambert (Homesure of American, Inc. and Cross Country Home Services, Inc.), regarding the applicability of s. 489.103(9) and s. 489.105(3), whether a licensed home warranty association and service warranty association must obtain an air conditioning or mechanical contractors license to market and sell a preventative maintenance services where the cost is less than $1,000.</w:t>
      </w:r>
    </w:p>
    <w:p w:rsidR="00936542" w:rsidRDefault="00936542" w:rsidP="00936542">
      <w:pPr>
        <w:pStyle w:val="BlockText"/>
      </w:pPr>
    </w:p>
    <w:p w:rsidR="00936542" w:rsidRDefault="00936542" w:rsidP="002F015B">
      <w:pPr>
        <w:pStyle w:val="BlockText"/>
        <w:numPr>
          <w:ilvl w:val="2"/>
          <w:numId w:val="32"/>
        </w:numPr>
      </w:pPr>
      <w:r>
        <w:t>Pete Quintella (Miami Beach Building Department), regarding the applicability of s. 489.105(3)(g), whether replacement of a water cooled 2 ton unit connected to the riser of a 500 ton water cooling tower is within the scope of a Class B air conditioning contractor’s license.</w:t>
      </w:r>
    </w:p>
    <w:p w:rsidR="008B06DE" w:rsidRDefault="008B06DE" w:rsidP="00927EF0"/>
    <w:p w:rsidR="008B06DE" w:rsidRDefault="008B06DE" w:rsidP="009B53D8">
      <w:pPr>
        <w:pStyle w:val="BlockText"/>
        <w:numPr>
          <w:ilvl w:val="1"/>
          <w:numId w:val="32"/>
        </w:numPr>
      </w:pPr>
      <w:r>
        <w:t>This board has received the following Petitions for Variance or Waiver</w:t>
      </w:r>
      <w:r w:rsidR="00927EF0">
        <w:t xml:space="preserve"> (if any)</w:t>
      </w:r>
      <w:r>
        <w:t>:</w:t>
      </w:r>
    </w:p>
    <w:p w:rsidR="00CA5910" w:rsidRDefault="00CA5910" w:rsidP="00CA5910">
      <w:pPr>
        <w:pStyle w:val="BlockText"/>
        <w:ind w:left="1800"/>
      </w:pPr>
    </w:p>
    <w:p w:rsidR="009B7504" w:rsidRDefault="009B7504" w:rsidP="009B7504">
      <w:pPr>
        <w:pStyle w:val="BlockText"/>
        <w:numPr>
          <w:ilvl w:val="2"/>
          <w:numId w:val="32"/>
        </w:numPr>
      </w:pPr>
      <w:r>
        <w:t>Peter Bemoe regarding duration of exam scores, was denied on October 17, 2011 for lack of standing.</w:t>
      </w:r>
    </w:p>
    <w:p w:rsidR="00CA5910" w:rsidRDefault="00CA5910" w:rsidP="00CA5910">
      <w:pPr>
        <w:pStyle w:val="BlockText"/>
        <w:ind w:left="2520"/>
      </w:pPr>
    </w:p>
    <w:p w:rsidR="009B7504" w:rsidRDefault="009B7504" w:rsidP="009B7504">
      <w:pPr>
        <w:pStyle w:val="BlockText"/>
        <w:numPr>
          <w:ilvl w:val="2"/>
          <w:numId w:val="32"/>
        </w:numPr>
      </w:pPr>
      <w:r>
        <w:t>Woodrow Me</w:t>
      </w:r>
      <w:r w:rsidR="00CA5910">
        <w:t>pham</w:t>
      </w:r>
      <w:r>
        <w:t xml:space="preserve"> regarding duration of exam scores, was denied on October 17, 2011 for lack of standing.</w:t>
      </w:r>
    </w:p>
    <w:p w:rsidR="00CA5910" w:rsidRDefault="00CA5910" w:rsidP="00CA5910">
      <w:pPr>
        <w:pStyle w:val="BlockText"/>
      </w:pPr>
    </w:p>
    <w:p w:rsidR="00CA5910" w:rsidRDefault="00CA5910" w:rsidP="00CA5910">
      <w:pPr>
        <w:pStyle w:val="BlockText"/>
        <w:numPr>
          <w:ilvl w:val="2"/>
          <w:numId w:val="32"/>
        </w:numPr>
      </w:pPr>
      <w:r>
        <w:t>Thomas Malong regarding duration of exam scores, was denied on October 17, 2011 for lack of standing.</w:t>
      </w:r>
    </w:p>
    <w:p w:rsidR="00F21394" w:rsidRDefault="00F21394" w:rsidP="009A1012"/>
    <w:p w:rsidR="00172C04" w:rsidRDefault="00F9535D" w:rsidP="005B212C">
      <w:pPr>
        <w:pStyle w:val="BlockText"/>
        <w:numPr>
          <w:ilvl w:val="0"/>
          <w:numId w:val="32"/>
        </w:numPr>
      </w:pPr>
      <w:r w:rsidRPr="003C50CC">
        <w:rPr>
          <w:u w:val="single"/>
        </w:rPr>
        <w:t>Electric</w:t>
      </w:r>
      <w:r w:rsidR="00CA1872" w:rsidRPr="003C50CC">
        <w:rPr>
          <w:u w:val="single"/>
        </w:rPr>
        <w:t>al Contracting Licensing Board</w:t>
      </w:r>
      <w:r w:rsidR="00305FDE">
        <w:t xml:space="preserve"> (includes both electricians and alarm contractors)</w:t>
      </w:r>
      <w:r w:rsidR="00CA1872">
        <w:t xml:space="preserve"> </w:t>
      </w:r>
      <w:r w:rsidR="00DA5E85">
        <w:t>– Chapter 489, Part II</w:t>
      </w:r>
      <w:r w:rsidR="009A1012">
        <w:t>, FS and 61G6, FAC</w:t>
      </w:r>
      <w:r w:rsidR="00DA5E85">
        <w:t>:</w:t>
      </w:r>
      <w:r w:rsidR="00E311DC">
        <w:t xml:space="preserve"> </w:t>
      </w:r>
      <w:r w:rsidR="00AE4928">
        <w:t xml:space="preserve"> </w:t>
      </w:r>
    </w:p>
    <w:p w:rsidR="008B06DE" w:rsidRDefault="008B06DE" w:rsidP="008B06DE">
      <w:pPr>
        <w:pStyle w:val="BlockText"/>
        <w:ind w:left="1080"/>
        <w:rPr>
          <w:u w:val="single"/>
        </w:rPr>
      </w:pPr>
    </w:p>
    <w:p w:rsidR="008B06DE" w:rsidRDefault="008B06DE" w:rsidP="00927EF0">
      <w:pPr>
        <w:pStyle w:val="BlockText"/>
        <w:numPr>
          <w:ilvl w:val="1"/>
          <w:numId w:val="32"/>
        </w:numPr>
      </w:pPr>
      <w:r>
        <w:t xml:space="preserve">This board proposed to adopt </w:t>
      </w:r>
      <w:r w:rsidR="00927EF0">
        <w:t xml:space="preserve">or amend </w:t>
      </w:r>
      <w:r>
        <w:t>the following rules</w:t>
      </w:r>
      <w:r w:rsidR="00927EF0">
        <w:t xml:space="preserve"> (if any)</w:t>
      </w:r>
      <w:r>
        <w:t>:</w:t>
      </w:r>
    </w:p>
    <w:p w:rsidR="00927EF0" w:rsidRDefault="00927EF0" w:rsidP="00927EF0">
      <w:pPr>
        <w:pStyle w:val="BlockText"/>
        <w:ind w:left="1800"/>
      </w:pPr>
    </w:p>
    <w:p w:rsidR="003239B0" w:rsidRDefault="00927EF0" w:rsidP="003239B0">
      <w:pPr>
        <w:pStyle w:val="BlockText"/>
        <w:numPr>
          <w:ilvl w:val="2"/>
          <w:numId w:val="32"/>
        </w:numPr>
      </w:pPr>
      <w:r>
        <w:t>61G6-5.003, .004 and .010, to clarify requirements for certification and to update statutory requirements of s. 489.522(2)(c) regarding the qualifying agent’s authority for approving payments and documents on behalf of the business organization.</w:t>
      </w:r>
    </w:p>
    <w:p w:rsidR="009B7504" w:rsidRDefault="009B7504" w:rsidP="009B7504">
      <w:pPr>
        <w:pStyle w:val="BlockText"/>
        <w:ind w:left="2520"/>
      </w:pPr>
    </w:p>
    <w:p w:rsidR="003239B0" w:rsidRDefault="003239B0" w:rsidP="003239B0">
      <w:pPr>
        <w:pStyle w:val="BlockText"/>
        <w:numPr>
          <w:ilvl w:val="2"/>
          <w:numId w:val="32"/>
        </w:numPr>
      </w:pPr>
      <w:r>
        <w:t>61G6-2.l10 to repeal a rule that is no longer necessary.</w:t>
      </w:r>
    </w:p>
    <w:p w:rsidR="009B7504" w:rsidRDefault="009B7504" w:rsidP="009B7504">
      <w:pPr>
        <w:pStyle w:val="BlockText"/>
      </w:pPr>
    </w:p>
    <w:p w:rsidR="003239B0" w:rsidRDefault="003239B0" w:rsidP="003239B0">
      <w:pPr>
        <w:pStyle w:val="BlockText"/>
        <w:numPr>
          <w:ilvl w:val="2"/>
          <w:numId w:val="32"/>
        </w:numPr>
      </w:pPr>
      <w:r>
        <w:t>61G6-5.0035</w:t>
      </w:r>
      <w:r w:rsidR="009B7504">
        <w:t xml:space="preserve"> and .009</w:t>
      </w:r>
      <w:r>
        <w:t xml:space="preserve"> </w:t>
      </w:r>
      <w:r w:rsidR="009B7504">
        <w:t xml:space="preserve">to repeal </w:t>
      </w:r>
      <w:r>
        <w:t>rule</w:t>
      </w:r>
      <w:r w:rsidR="009B7504">
        <w:t>s that are</w:t>
      </w:r>
      <w:r>
        <w:t xml:space="preserve"> no longer necessary.</w:t>
      </w:r>
    </w:p>
    <w:p w:rsidR="009B7504" w:rsidRDefault="009B7504" w:rsidP="009B7504">
      <w:pPr>
        <w:pStyle w:val="BlockText"/>
      </w:pPr>
    </w:p>
    <w:p w:rsidR="003239B0" w:rsidRDefault="003239B0" w:rsidP="003239B0">
      <w:pPr>
        <w:pStyle w:val="BlockText"/>
        <w:numPr>
          <w:ilvl w:val="2"/>
          <w:numId w:val="32"/>
        </w:numPr>
      </w:pPr>
      <w:r>
        <w:t xml:space="preserve">61G6- </w:t>
      </w:r>
      <w:r w:rsidR="009B7504">
        <w:t xml:space="preserve">9.008, .0105 and .013 to repeal </w:t>
      </w:r>
      <w:r>
        <w:t>rule</w:t>
      </w:r>
      <w:r w:rsidR="009B7504">
        <w:t>s that are</w:t>
      </w:r>
      <w:r>
        <w:t xml:space="preserve"> no longer necessary.</w:t>
      </w:r>
    </w:p>
    <w:p w:rsidR="009B7504" w:rsidRDefault="009B7504" w:rsidP="009B7504">
      <w:pPr>
        <w:pStyle w:val="BlockText"/>
      </w:pPr>
    </w:p>
    <w:p w:rsidR="009B7504" w:rsidRDefault="009B7504" w:rsidP="009B7504">
      <w:pPr>
        <w:pStyle w:val="BlockText"/>
        <w:numPr>
          <w:ilvl w:val="2"/>
          <w:numId w:val="32"/>
        </w:numPr>
      </w:pPr>
      <w:r>
        <w:t>61G6-10.001 to repeal a rule that is no longer necessary.</w:t>
      </w:r>
    </w:p>
    <w:p w:rsidR="009B7504" w:rsidRDefault="009B7504" w:rsidP="009B7504">
      <w:pPr>
        <w:pStyle w:val="BlockText"/>
      </w:pPr>
    </w:p>
    <w:p w:rsidR="009B7504" w:rsidRDefault="009B7504" w:rsidP="009B7504">
      <w:pPr>
        <w:pStyle w:val="BlockText"/>
        <w:numPr>
          <w:ilvl w:val="2"/>
          <w:numId w:val="32"/>
        </w:numPr>
      </w:pPr>
      <w:r>
        <w:t>61G6-12.004 to repeal a rule that is no longer necessary.</w:t>
      </w:r>
    </w:p>
    <w:p w:rsidR="009B7504" w:rsidRDefault="009B7504" w:rsidP="009B7504">
      <w:pPr>
        <w:pStyle w:val="BlockText"/>
      </w:pPr>
    </w:p>
    <w:p w:rsidR="008B06DE" w:rsidRDefault="008B06DE" w:rsidP="008B06DE">
      <w:pPr>
        <w:pStyle w:val="BlockText"/>
        <w:numPr>
          <w:ilvl w:val="1"/>
          <w:numId w:val="32"/>
        </w:numPr>
      </w:pPr>
      <w:r>
        <w:t>This board has received the following Petitions for Declaratory Statement</w:t>
      </w:r>
      <w:r w:rsidR="00927EF0">
        <w:t xml:space="preserve"> (if any)</w:t>
      </w:r>
      <w:r>
        <w:t>:</w:t>
      </w:r>
    </w:p>
    <w:p w:rsidR="008B06DE" w:rsidRDefault="008B06DE" w:rsidP="008B06DE">
      <w:pPr>
        <w:pStyle w:val="ListParagraph"/>
      </w:pPr>
    </w:p>
    <w:p w:rsidR="008B06DE" w:rsidRDefault="008B06DE" w:rsidP="008B06DE">
      <w:pPr>
        <w:pStyle w:val="BlockText"/>
        <w:numPr>
          <w:ilvl w:val="1"/>
          <w:numId w:val="32"/>
        </w:numPr>
      </w:pPr>
      <w:r>
        <w:t>This board has received the following P</w:t>
      </w:r>
      <w:r w:rsidR="00927EF0">
        <w:t>etitions for Variance or Waiver (if any):</w:t>
      </w:r>
    </w:p>
    <w:p w:rsidR="003239B0" w:rsidRDefault="003239B0" w:rsidP="003239B0">
      <w:pPr>
        <w:pStyle w:val="ListParagraph"/>
      </w:pPr>
    </w:p>
    <w:p w:rsidR="003239B0" w:rsidRDefault="00CB18D5" w:rsidP="003239B0">
      <w:pPr>
        <w:pStyle w:val="BlockText"/>
        <w:numPr>
          <w:ilvl w:val="2"/>
          <w:numId w:val="32"/>
        </w:numPr>
      </w:pPr>
      <w:r>
        <w:t xml:space="preserve">Roger Diaz, seeking a variance or waiver from </w:t>
      </w:r>
      <w:r w:rsidR="003239B0">
        <w:t>61G6-6.017</w:t>
      </w:r>
      <w:r>
        <w:t>, requiring a passing examination score on any part of the exam shall be valid only for a period of two (2) years, was filed on October 10, 2011..</w:t>
      </w:r>
    </w:p>
    <w:p w:rsidR="005C08FA" w:rsidRDefault="005C08FA" w:rsidP="005C08FA">
      <w:pPr>
        <w:pStyle w:val="BlockText"/>
        <w:ind w:left="2520"/>
      </w:pPr>
    </w:p>
    <w:p w:rsidR="003239B0" w:rsidRDefault="00CB18D5" w:rsidP="00CB18D5">
      <w:pPr>
        <w:pStyle w:val="BlockText"/>
        <w:numPr>
          <w:ilvl w:val="2"/>
          <w:numId w:val="32"/>
        </w:numPr>
      </w:pPr>
      <w:r>
        <w:t xml:space="preserve">Rene Suarez was granted a variance or waiver from </w:t>
      </w:r>
      <w:r w:rsidR="003239B0">
        <w:t>61G6-6.017</w:t>
      </w:r>
      <w:r>
        <w:t>, requiring a passing examination score on any part of the exam shall be valid only for a period of two (2) years, based on demonstrated hardship, on September 23, 2011.</w:t>
      </w:r>
    </w:p>
    <w:p w:rsidR="003C50CC" w:rsidRDefault="003C50CC" w:rsidP="005C08FA">
      <w:pPr>
        <w:pStyle w:val="BlockText"/>
      </w:pPr>
    </w:p>
    <w:p w:rsidR="003C50CC" w:rsidRDefault="00F9535D" w:rsidP="00D532DF">
      <w:pPr>
        <w:pStyle w:val="BlockText"/>
        <w:numPr>
          <w:ilvl w:val="0"/>
          <w:numId w:val="32"/>
        </w:numPr>
      </w:pPr>
      <w:r w:rsidRPr="00CF2384">
        <w:rPr>
          <w:u w:val="single"/>
        </w:rPr>
        <w:t>Board of Ar</w:t>
      </w:r>
      <w:r w:rsidR="00CA1872" w:rsidRPr="00CF2384">
        <w:rPr>
          <w:u w:val="single"/>
        </w:rPr>
        <w:t>chitecture and Interior Design</w:t>
      </w:r>
      <w:r w:rsidR="00CA1872">
        <w:t xml:space="preserve"> – Chapter 481, Part I</w:t>
      </w:r>
      <w:r w:rsidR="00EB0314">
        <w:t>, FS</w:t>
      </w:r>
      <w:r w:rsidR="00CA1872">
        <w:t xml:space="preserve"> and 61G1 FAC</w:t>
      </w:r>
      <w:r w:rsidR="009A1012">
        <w:t>:</w:t>
      </w:r>
      <w:r w:rsidR="009B53D8">
        <w:t xml:space="preserve"> </w:t>
      </w:r>
    </w:p>
    <w:p w:rsidR="003C50CC" w:rsidRDefault="003C50CC" w:rsidP="003C50CC">
      <w:pPr>
        <w:pStyle w:val="BlockText"/>
        <w:ind w:left="1080"/>
      </w:pPr>
    </w:p>
    <w:p w:rsidR="008B06DE" w:rsidRDefault="008B06DE" w:rsidP="00927EF0">
      <w:pPr>
        <w:pStyle w:val="BlockText"/>
        <w:numPr>
          <w:ilvl w:val="1"/>
          <w:numId w:val="32"/>
        </w:numPr>
      </w:pPr>
      <w:r>
        <w:t xml:space="preserve">This board proposed to adopt </w:t>
      </w:r>
      <w:r w:rsidR="00927EF0">
        <w:t xml:space="preserve">or amend </w:t>
      </w:r>
      <w:r>
        <w:t>the following rules</w:t>
      </w:r>
      <w:r w:rsidR="00927EF0">
        <w:t xml:space="preserve"> (if any)</w:t>
      </w:r>
      <w:r>
        <w:t>:</w:t>
      </w:r>
    </w:p>
    <w:p w:rsidR="00927EF0" w:rsidRDefault="00927EF0" w:rsidP="00927EF0">
      <w:pPr>
        <w:pStyle w:val="BlockText"/>
        <w:numPr>
          <w:ilvl w:val="2"/>
          <w:numId w:val="32"/>
        </w:numPr>
      </w:pPr>
      <w:r>
        <w:t xml:space="preserve">61G1-24.001 to increase the number of </w:t>
      </w:r>
      <w:r w:rsidR="00CB18D5">
        <w:t>CE</w:t>
      </w:r>
      <w:r>
        <w:t xml:space="preserve"> hours required.</w:t>
      </w:r>
    </w:p>
    <w:p w:rsidR="00927EF0" w:rsidRDefault="00927EF0" w:rsidP="00927EF0">
      <w:pPr>
        <w:pStyle w:val="BlockText"/>
        <w:ind w:left="2520"/>
      </w:pPr>
    </w:p>
    <w:p w:rsidR="00927EF0" w:rsidRDefault="00927EF0" w:rsidP="00927EF0">
      <w:pPr>
        <w:pStyle w:val="BlockText"/>
        <w:numPr>
          <w:ilvl w:val="2"/>
          <w:numId w:val="32"/>
        </w:numPr>
      </w:pPr>
      <w:r>
        <w:t>61G1-11.005 to specify the number of members on the Probable Cause Panel.</w:t>
      </w:r>
    </w:p>
    <w:p w:rsidR="003239B0" w:rsidRDefault="003239B0" w:rsidP="003239B0">
      <w:pPr>
        <w:pStyle w:val="ListParagraph"/>
      </w:pPr>
    </w:p>
    <w:p w:rsidR="003239B0" w:rsidRDefault="003239B0" w:rsidP="00927EF0">
      <w:pPr>
        <w:pStyle w:val="BlockText"/>
        <w:numPr>
          <w:ilvl w:val="2"/>
          <w:numId w:val="32"/>
        </w:numPr>
      </w:pPr>
      <w:r>
        <w:t>61G1-17.003 to repeal a rule which duplicates s. 481.229(5)(b).</w:t>
      </w:r>
    </w:p>
    <w:p w:rsidR="009B7504" w:rsidRDefault="009B7504" w:rsidP="009B7504">
      <w:pPr>
        <w:pStyle w:val="ListParagraph"/>
      </w:pPr>
    </w:p>
    <w:p w:rsidR="009B7504" w:rsidRDefault="009B7504" w:rsidP="009B7504">
      <w:pPr>
        <w:pStyle w:val="BlockText"/>
        <w:numPr>
          <w:ilvl w:val="2"/>
          <w:numId w:val="32"/>
        </w:numPr>
      </w:pPr>
      <w:r>
        <w:t>61G1-24.002 to increase the number of CE hours required.</w:t>
      </w:r>
    </w:p>
    <w:p w:rsidR="009B7504" w:rsidRDefault="009B7504" w:rsidP="009B7504">
      <w:pPr>
        <w:pStyle w:val="ListParagraph"/>
      </w:pPr>
    </w:p>
    <w:p w:rsidR="009B7504" w:rsidRDefault="009B7504" w:rsidP="009B7504">
      <w:pPr>
        <w:pStyle w:val="BlockText"/>
        <w:numPr>
          <w:ilvl w:val="2"/>
          <w:numId w:val="32"/>
        </w:numPr>
      </w:pPr>
      <w:r>
        <w:t>61G1-21.001 and .003 to align rules with NCARB model rules.</w:t>
      </w:r>
    </w:p>
    <w:p w:rsidR="008B06DE" w:rsidRDefault="008B06DE" w:rsidP="008B06DE">
      <w:pPr>
        <w:pStyle w:val="BlockText"/>
      </w:pPr>
    </w:p>
    <w:p w:rsidR="008B06DE" w:rsidRDefault="008B06DE" w:rsidP="008B06DE">
      <w:pPr>
        <w:pStyle w:val="BlockText"/>
        <w:numPr>
          <w:ilvl w:val="1"/>
          <w:numId w:val="32"/>
        </w:numPr>
      </w:pPr>
      <w:r>
        <w:t>This board has received the following Petitions for Declaratory Statement</w:t>
      </w:r>
      <w:r w:rsidR="00927EF0">
        <w:t xml:space="preserve"> (if any)</w:t>
      </w:r>
      <w:r>
        <w:t>:</w:t>
      </w:r>
    </w:p>
    <w:p w:rsidR="008B06DE" w:rsidRDefault="008B06DE" w:rsidP="008B06DE">
      <w:pPr>
        <w:pStyle w:val="ListParagraph"/>
      </w:pPr>
    </w:p>
    <w:p w:rsidR="008B06DE" w:rsidRDefault="008B06DE" w:rsidP="008B06DE">
      <w:pPr>
        <w:pStyle w:val="BlockText"/>
        <w:numPr>
          <w:ilvl w:val="1"/>
          <w:numId w:val="32"/>
        </w:numPr>
      </w:pPr>
      <w:r>
        <w:t>This board has received the following Petitions for Variance or Waiver</w:t>
      </w:r>
      <w:r w:rsidR="00927EF0">
        <w:t xml:space="preserve"> (if any)</w:t>
      </w:r>
      <w:r>
        <w:t>:</w:t>
      </w:r>
    </w:p>
    <w:p w:rsidR="00CF2384" w:rsidRDefault="00CF2384" w:rsidP="009B53D8">
      <w:pPr>
        <w:pStyle w:val="BlockText"/>
      </w:pPr>
    </w:p>
    <w:p w:rsidR="002E2A6D" w:rsidRDefault="00CA1872" w:rsidP="00172C04">
      <w:pPr>
        <w:pStyle w:val="BlockText"/>
        <w:numPr>
          <w:ilvl w:val="0"/>
          <w:numId w:val="32"/>
        </w:numPr>
      </w:pPr>
      <w:r w:rsidRPr="00EF1953">
        <w:rPr>
          <w:u w:val="single"/>
        </w:rPr>
        <w:t>Board of Landscape Architecture</w:t>
      </w:r>
      <w:r>
        <w:t xml:space="preserve"> – Chapter 481, Part II</w:t>
      </w:r>
      <w:r w:rsidR="00EB0314">
        <w:t>, FS</w:t>
      </w:r>
      <w:r>
        <w:t xml:space="preserve"> and 61G10 FAC</w:t>
      </w:r>
      <w:r w:rsidR="00305FDE">
        <w:t xml:space="preserve">: </w:t>
      </w:r>
    </w:p>
    <w:p w:rsidR="00305FDE" w:rsidRDefault="00305FDE" w:rsidP="00BB3CE8"/>
    <w:p w:rsidR="008B06DE" w:rsidRDefault="008B06DE" w:rsidP="008B06DE">
      <w:pPr>
        <w:ind w:left="2160"/>
      </w:pPr>
      <w:r>
        <w:t>(Nothing to report)</w:t>
      </w:r>
    </w:p>
    <w:p w:rsidR="002B3E98" w:rsidRDefault="002B3E98" w:rsidP="00172C04"/>
    <w:p w:rsidR="002B0DFC" w:rsidRDefault="00F9535D" w:rsidP="00D532DF">
      <w:pPr>
        <w:pStyle w:val="BlockText"/>
        <w:numPr>
          <w:ilvl w:val="0"/>
          <w:numId w:val="32"/>
        </w:numPr>
      </w:pPr>
      <w:r w:rsidRPr="00D42313">
        <w:rPr>
          <w:u w:val="single"/>
        </w:rPr>
        <w:t>Board</w:t>
      </w:r>
      <w:r w:rsidR="00CA1872" w:rsidRPr="00D42313">
        <w:rPr>
          <w:u w:val="single"/>
        </w:rPr>
        <w:t xml:space="preserve"> of Professional Engineers</w:t>
      </w:r>
      <w:r w:rsidR="00CA1872">
        <w:t xml:space="preserve"> – Chapter 471, </w:t>
      </w:r>
      <w:r w:rsidR="00EB0314">
        <w:t xml:space="preserve">FS </w:t>
      </w:r>
      <w:r w:rsidR="00CA1872">
        <w:t>and 61G15 FAC</w:t>
      </w:r>
      <w:r w:rsidR="00305FDE">
        <w:t xml:space="preserve">: </w:t>
      </w:r>
    </w:p>
    <w:p w:rsidR="002363CA" w:rsidRDefault="002363CA" w:rsidP="002363CA">
      <w:pPr>
        <w:pStyle w:val="BlockText"/>
        <w:ind w:left="1080"/>
      </w:pPr>
    </w:p>
    <w:p w:rsidR="008B06DE" w:rsidRDefault="008B06DE" w:rsidP="00927EF0">
      <w:pPr>
        <w:pStyle w:val="BlockText"/>
        <w:numPr>
          <w:ilvl w:val="1"/>
          <w:numId w:val="32"/>
        </w:numPr>
      </w:pPr>
      <w:r>
        <w:t>This board proposed to adopt</w:t>
      </w:r>
      <w:r w:rsidR="00927EF0">
        <w:t xml:space="preserve"> or amend</w:t>
      </w:r>
      <w:r>
        <w:t xml:space="preserve"> the following rules</w:t>
      </w:r>
      <w:r w:rsidR="00927EF0">
        <w:t xml:space="preserve"> (f any)</w:t>
      </w:r>
      <w:r>
        <w:t>:</w:t>
      </w:r>
    </w:p>
    <w:p w:rsidR="003239B0" w:rsidRDefault="003239B0" w:rsidP="003239B0">
      <w:pPr>
        <w:pStyle w:val="BlockText"/>
        <w:ind w:left="1800"/>
      </w:pPr>
    </w:p>
    <w:p w:rsidR="00927EF0" w:rsidRDefault="00927EF0" w:rsidP="00927EF0">
      <w:pPr>
        <w:pStyle w:val="BlockText"/>
        <w:numPr>
          <w:ilvl w:val="2"/>
          <w:numId w:val="32"/>
        </w:numPr>
      </w:pPr>
      <w:r>
        <w:t>61G15-23/003 to delete unnecessary language and to update Federal Information Processing Standard Publication and provide a website address where the standards can be obtained.</w:t>
      </w:r>
    </w:p>
    <w:p w:rsidR="003239B0" w:rsidRDefault="003239B0" w:rsidP="003239B0">
      <w:pPr>
        <w:pStyle w:val="BlockText"/>
        <w:ind w:left="2520"/>
      </w:pPr>
    </w:p>
    <w:p w:rsidR="003239B0" w:rsidRDefault="003239B0" w:rsidP="00927EF0">
      <w:pPr>
        <w:pStyle w:val="BlockText"/>
        <w:numPr>
          <w:ilvl w:val="2"/>
          <w:numId w:val="32"/>
        </w:numPr>
      </w:pPr>
      <w:r>
        <w:t>61G15-29.001 to delete unnecessary language and to add clarification regarding the certification process.</w:t>
      </w:r>
    </w:p>
    <w:p w:rsidR="003239B0" w:rsidRDefault="003239B0" w:rsidP="003239B0">
      <w:pPr>
        <w:pStyle w:val="ListParagraph"/>
      </w:pPr>
    </w:p>
    <w:p w:rsidR="003239B0" w:rsidRDefault="003239B0" w:rsidP="00927EF0">
      <w:pPr>
        <w:pStyle w:val="BlockText"/>
        <w:numPr>
          <w:ilvl w:val="2"/>
          <w:numId w:val="32"/>
        </w:numPr>
      </w:pPr>
      <w:r>
        <w:t>61G15-18.005 to delete unnecessary language.</w:t>
      </w:r>
    </w:p>
    <w:p w:rsidR="003239B0" w:rsidRDefault="003239B0" w:rsidP="003239B0">
      <w:pPr>
        <w:pStyle w:val="ListParagraph"/>
      </w:pPr>
    </w:p>
    <w:p w:rsidR="003239B0" w:rsidRDefault="003239B0" w:rsidP="00927EF0">
      <w:pPr>
        <w:pStyle w:val="BlockText"/>
        <w:numPr>
          <w:ilvl w:val="2"/>
          <w:numId w:val="32"/>
        </w:numPr>
      </w:pPr>
      <w:r>
        <w:t>61G15-18.010, .008 and .015 to repeal rules that are no longer necessary.</w:t>
      </w:r>
    </w:p>
    <w:p w:rsidR="003239B0" w:rsidRDefault="003239B0" w:rsidP="003239B0">
      <w:pPr>
        <w:pStyle w:val="ListParagraph"/>
      </w:pPr>
    </w:p>
    <w:p w:rsidR="003239B0" w:rsidRDefault="003239B0" w:rsidP="003239B0">
      <w:pPr>
        <w:pStyle w:val="BlockText"/>
        <w:numPr>
          <w:ilvl w:val="2"/>
          <w:numId w:val="32"/>
        </w:numPr>
      </w:pPr>
      <w:r>
        <w:t>61G15-19.003, and .008 to repeal rules that are no longer necessary.</w:t>
      </w:r>
    </w:p>
    <w:p w:rsidR="003239B0" w:rsidRDefault="003239B0" w:rsidP="003239B0">
      <w:pPr>
        <w:pStyle w:val="ListParagraph"/>
      </w:pPr>
    </w:p>
    <w:p w:rsidR="003239B0" w:rsidRDefault="003239B0" w:rsidP="003239B0">
      <w:pPr>
        <w:pStyle w:val="BlockText"/>
        <w:numPr>
          <w:ilvl w:val="2"/>
          <w:numId w:val="32"/>
        </w:numPr>
      </w:pPr>
      <w:r>
        <w:t>61G15-22.007 to repeal a rule that is no longer necessary.</w:t>
      </w:r>
    </w:p>
    <w:p w:rsidR="003239B0" w:rsidRDefault="003239B0" w:rsidP="003239B0">
      <w:pPr>
        <w:pStyle w:val="ListParagraph"/>
      </w:pPr>
    </w:p>
    <w:p w:rsidR="003239B0" w:rsidRDefault="003239B0" w:rsidP="003239B0">
      <w:pPr>
        <w:pStyle w:val="BlockText"/>
        <w:numPr>
          <w:ilvl w:val="2"/>
          <w:numId w:val="32"/>
        </w:numPr>
      </w:pPr>
      <w:r>
        <w:t>61G15-35.001 and .002 to repeal rules that are no longer necessary.</w:t>
      </w:r>
    </w:p>
    <w:p w:rsidR="009B7504" w:rsidRDefault="009B7504" w:rsidP="009B7504">
      <w:pPr>
        <w:pStyle w:val="ListParagraph"/>
      </w:pPr>
    </w:p>
    <w:p w:rsidR="009B7504" w:rsidRDefault="009B7504" w:rsidP="003239B0">
      <w:pPr>
        <w:pStyle w:val="BlockText"/>
        <w:numPr>
          <w:ilvl w:val="2"/>
          <w:numId w:val="32"/>
        </w:numPr>
      </w:pPr>
      <w:r>
        <w:t>61G15-21.001 to add new language to clarify the parts of the written exam and general requirements for taking the exam.</w:t>
      </w:r>
    </w:p>
    <w:p w:rsidR="009B7504" w:rsidRDefault="009B7504" w:rsidP="009B7504">
      <w:pPr>
        <w:pStyle w:val="ListParagraph"/>
      </w:pPr>
    </w:p>
    <w:p w:rsidR="009B7504" w:rsidRDefault="009B7504" w:rsidP="003239B0">
      <w:pPr>
        <w:pStyle w:val="BlockText"/>
        <w:numPr>
          <w:ilvl w:val="2"/>
          <w:numId w:val="32"/>
        </w:numPr>
      </w:pPr>
      <w:r>
        <w:t>61G15-23.001 to modify language to clarify seals acceptable to the board.</w:t>
      </w:r>
    </w:p>
    <w:p w:rsidR="008B06DE" w:rsidRDefault="008B06DE" w:rsidP="008B06DE">
      <w:pPr>
        <w:pStyle w:val="BlockText"/>
      </w:pPr>
    </w:p>
    <w:p w:rsidR="008B06DE" w:rsidRDefault="008B06DE" w:rsidP="008B06DE">
      <w:pPr>
        <w:pStyle w:val="BlockText"/>
        <w:numPr>
          <w:ilvl w:val="1"/>
          <w:numId w:val="32"/>
        </w:numPr>
      </w:pPr>
      <w:r>
        <w:t>This board has received the following Petitions for Declaratory Statement</w:t>
      </w:r>
      <w:r w:rsidR="00927EF0">
        <w:t xml:space="preserve"> (if any)</w:t>
      </w:r>
      <w:r>
        <w:t>:</w:t>
      </w:r>
    </w:p>
    <w:p w:rsidR="008B06DE" w:rsidRDefault="008B06DE" w:rsidP="008B06DE">
      <w:pPr>
        <w:pStyle w:val="ListParagraph"/>
      </w:pPr>
    </w:p>
    <w:p w:rsidR="008B06DE" w:rsidRDefault="008B06DE" w:rsidP="008B06DE">
      <w:pPr>
        <w:pStyle w:val="BlockText"/>
        <w:numPr>
          <w:ilvl w:val="1"/>
          <w:numId w:val="32"/>
        </w:numPr>
      </w:pPr>
      <w:r>
        <w:t>This board has received the following Petitions for Variance or Waiver</w:t>
      </w:r>
      <w:r w:rsidR="00927EF0">
        <w:t xml:space="preserve"> (if any)</w:t>
      </w:r>
      <w:r>
        <w:t>:</w:t>
      </w:r>
    </w:p>
    <w:p w:rsidR="00D532DF" w:rsidRDefault="00D532DF" w:rsidP="00CB18D5">
      <w:pPr>
        <w:pStyle w:val="BlockText"/>
      </w:pPr>
    </w:p>
    <w:p w:rsidR="002363CA" w:rsidRDefault="00F9535D" w:rsidP="008B06DE">
      <w:pPr>
        <w:pStyle w:val="BlockText"/>
        <w:numPr>
          <w:ilvl w:val="0"/>
          <w:numId w:val="32"/>
        </w:numPr>
      </w:pPr>
      <w:r w:rsidRPr="009A1012">
        <w:rPr>
          <w:u w:val="single"/>
        </w:rPr>
        <w:t>Building Code Administrators and Inspectors</w:t>
      </w:r>
      <w:r>
        <w:t xml:space="preserve"> Board</w:t>
      </w:r>
      <w:r w:rsidR="00CA1872">
        <w:t xml:space="preserve"> – Chapter 468, Part XII and 61G19 FAC</w:t>
      </w:r>
      <w:r w:rsidR="002E2A6D">
        <w:t xml:space="preserve">: </w:t>
      </w:r>
    </w:p>
    <w:p w:rsidR="008B06DE" w:rsidRDefault="008B06DE" w:rsidP="008B06DE">
      <w:pPr>
        <w:pStyle w:val="BlockText"/>
        <w:ind w:left="1440"/>
      </w:pPr>
    </w:p>
    <w:p w:rsidR="008B06DE" w:rsidRDefault="008B06DE" w:rsidP="008B06DE">
      <w:pPr>
        <w:pStyle w:val="BlockText"/>
        <w:numPr>
          <w:ilvl w:val="1"/>
          <w:numId w:val="32"/>
        </w:numPr>
      </w:pPr>
      <w:r>
        <w:t>This board proposed to adopt</w:t>
      </w:r>
      <w:r w:rsidR="00927EF0">
        <w:t xml:space="preserve"> or amend</w:t>
      </w:r>
      <w:r>
        <w:t xml:space="preserve"> the following rules</w:t>
      </w:r>
      <w:r w:rsidR="00927EF0">
        <w:t xml:space="preserve"> (</w:t>
      </w:r>
      <w:r w:rsidR="00CB18D5">
        <w:t>if</w:t>
      </w:r>
      <w:r w:rsidR="00927EF0">
        <w:t xml:space="preserve"> any)</w:t>
      </w:r>
      <w:r>
        <w:t>:</w:t>
      </w:r>
    </w:p>
    <w:p w:rsidR="008B06DE" w:rsidRDefault="008B06DE" w:rsidP="008B06DE">
      <w:pPr>
        <w:pStyle w:val="BlockText"/>
        <w:ind w:left="1440"/>
      </w:pPr>
    </w:p>
    <w:p w:rsidR="008B06DE" w:rsidRDefault="00927EF0" w:rsidP="00927EF0">
      <w:pPr>
        <w:pStyle w:val="BlockText"/>
        <w:numPr>
          <w:ilvl w:val="2"/>
          <w:numId w:val="32"/>
        </w:numPr>
      </w:pPr>
      <w:r>
        <w:t>61G19-5.002 regarding disciplinary guidelines to raise the remaining fine limits of $1,500 to $2,500. An earlier version of this rule changed, published on October 8, 2011, has been withdrawn.</w:t>
      </w:r>
    </w:p>
    <w:p w:rsidR="008B06DE" w:rsidRDefault="008B06DE" w:rsidP="008B06DE">
      <w:pPr>
        <w:pStyle w:val="BlockText"/>
      </w:pPr>
    </w:p>
    <w:p w:rsidR="008B06DE" w:rsidRDefault="008B06DE" w:rsidP="008B06DE">
      <w:pPr>
        <w:pStyle w:val="BlockText"/>
        <w:numPr>
          <w:ilvl w:val="1"/>
          <w:numId w:val="32"/>
        </w:numPr>
      </w:pPr>
      <w:r>
        <w:t>This board has received the following Petitions for Declaratory Statement</w:t>
      </w:r>
      <w:r w:rsidR="00927EF0">
        <w:t xml:space="preserve"> (if any)</w:t>
      </w:r>
      <w:r>
        <w:t>:</w:t>
      </w:r>
      <w:r w:rsidR="00927EF0">
        <w:t xml:space="preserve"> </w:t>
      </w:r>
    </w:p>
    <w:p w:rsidR="008B06DE" w:rsidRDefault="008B06DE" w:rsidP="00CB18D5"/>
    <w:p w:rsidR="008B06DE" w:rsidRDefault="008B06DE" w:rsidP="008B06DE">
      <w:pPr>
        <w:pStyle w:val="BlockText"/>
        <w:numPr>
          <w:ilvl w:val="1"/>
          <w:numId w:val="32"/>
        </w:numPr>
      </w:pPr>
      <w:r>
        <w:t>This board has received the following Petitions for Variance or Waiver</w:t>
      </w:r>
      <w:r w:rsidR="00927EF0">
        <w:t xml:space="preserve"> (if any)</w:t>
      </w:r>
      <w:r>
        <w:t>:</w:t>
      </w:r>
    </w:p>
    <w:p w:rsidR="008B06DE" w:rsidRDefault="008B06DE" w:rsidP="008B06DE">
      <w:pPr>
        <w:pStyle w:val="BlockText"/>
      </w:pPr>
    </w:p>
    <w:p w:rsidR="005C5CFC" w:rsidRPr="003134D3" w:rsidRDefault="005C5CFC" w:rsidP="005C5CFC">
      <w:pPr>
        <w:pStyle w:val="BlockText"/>
      </w:pPr>
    </w:p>
    <w:p w:rsidR="002B0DFC" w:rsidRDefault="0098369B" w:rsidP="005C5CFC">
      <w:pPr>
        <w:pStyle w:val="BlockText"/>
        <w:numPr>
          <w:ilvl w:val="0"/>
          <w:numId w:val="32"/>
        </w:numPr>
      </w:pPr>
      <w:r w:rsidRPr="003C50CC">
        <w:rPr>
          <w:u w:val="single"/>
        </w:rPr>
        <w:t>Florida Building Commission</w:t>
      </w:r>
      <w:r w:rsidR="00EF1953">
        <w:rPr>
          <w:rStyle w:val="FootnoteReference"/>
          <w:u w:val="single"/>
        </w:rPr>
        <w:footnoteReference w:id="1"/>
      </w:r>
      <w:r w:rsidR="00CA1872">
        <w:t xml:space="preserve"> – C</w:t>
      </w:r>
      <w:r w:rsidR="00383EFB">
        <w:t>hapter 553, Part IV</w:t>
      </w:r>
      <w:r w:rsidR="002E2A6D">
        <w:t xml:space="preserve"> and 9N FAC:</w:t>
      </w:r>
      <w:r w:rsidR="009A1012">
        <w:t xml:space="preserve"> </w:t>
      </w:r>
    </w:p>
    <w:p w:rsidR="008B06DE" w:rsidRDefault="008B06DE" w:rsidP="008B06DE">
      <w:pPr>
        <w:pStyle w:val="BlockText"/>
        <w:ind w:left="1080"/>
        <w:rPr>
          <w:u w:val="single"/>
        </w:rPr>
      </w:pPr>
    </w:p>
    <w:p w:rsidR="008B06DE" w:rsidRDefault="008B06DE" w:rsidP="00927EF0">
      <w:pPr>
        <w:pStyle w:val="BlockText"/>
        <w:numPr>
          <w:ilvl w:val="1"/>
          <w:numId w:val="32"/>
        </w:numPr>
      </w:pPr>
      <w:r>
        <w:t>This board proposed to adopt</w:t>
      </w:r>
      <w:r w:rsidR="00927EF0">
        <w:t xml:space="preserve"> or amend</w:t>
      </w:r>
      <w:r>
        <w:t xml:space="preserve"> the following rules</w:t>
      </w:r>
      <w:r w:rsidR="00927EF0">
        <w:t xml:space="preserve"> (if any)</w:t>
      </w:r>
      <w:r>
        <w:t>:</w:t>
      </w:r>
    </w:p>
    <w:p w:rsidR="008B06DE" w:rsidRDefault="008B06DE" w:rsidP="008B06DE">
      <w:pPr>
        <w:pStyle w:val="BlockText"/>
      </w:pPr>
    </w:p>
    <w:p w:rsidR="008B06DE" w:rsidRDefault="008B06DE" w:rsidP="008B06DE">
      <w:pPr>
        <w:pStyle w:val="BlockText"/>
        <w:numPr>
          <w:ilvl w:val="1"/>
          <w:numId w:val="32"/>
        </w:numPr>
      </w:pPr>
      <w:r>
        <w:t>This board has received the following Petitions for Declaratory Statement</w:t>
      </w:r>
      <w:r w:rsidR="00927EF0">
        <w:t xml:space="preserve"> (if any)</w:t>
      </w:r>
      <w:r>
        <w:t>:</w:t>
      </w:r>
    </w:p>
    <w:p w:rsidR="00CB18D5" w:rsidRDefault="00CB18D5" w:rsidP="00CB18D5">
      <w:pPr>
        <w:pStyle w:val="ListParagraph"/>
      </w:pPr>
    </w:p>
    <w:p w:rsidR="00CB18D5" w:rsidRDefault="00CB18D5" w:rsidP="00CB18D5">
      <w:pPr>
        <w:pStyle w:val="BlockText"/>
        <w:numPr>
          <w:ilvl w:val="2"/>
          <w:numId w:val="32"/>
        </w:numPr>
      </w:pPr>
      <w:r>
        <w:t>Dan Johnson (Swim, Incorporated), regarding the applicability of R4101.6.1 and 403.9 Energy Conservation to the design of a 10,700 gallon residential swimming pool regarding flow and velocity requirements for swimming pool piping.</w:t>
      </w:r>
    </w:p>
    <w:p w:rsidR="008B06DE" w:rsidRDefault="008B06DE" w:rsidP="008B06DE">
      <w:pPr>
        <w:pStyle w:val="ListParagraph"/>
      </w:pPr>
    </w:p>
    <w:p w:rsidR="008B06DE" w:rsidRDefault="008B06DE" w:rsidP="008B06DE">
      <w:pPr>
        <w:pStyle w:val="BlockText"/>
        <w:numPr>
          <w:ilvl w:val="1"/>
          <w:numId w:val="32"/>
        </w:numPr>
      </w:pPr>
      <w:r>
        <w:t>This board has received the following Petitions for Variance or Waiver</w:t>
      </w:r>
      <w:r w:rsidR="00927EF0">
        <w:t xml:space="preserve"> (if any)</w:t>
      </w:r>
      <w:r>
        <w:t>:</w:t>
      </w:r>
    </w:p>
    <w:p w:rsidR="003C50CC" w:rsidRDefault="003C50CC" w:rsidP="003C50CC">
      <w:pPr>
        <w:pStyle w:val="BlockText"/>
        <w:ind w:left="1080"/>
      </w:pPr>
    </w:p>
    <w:p w:rsidR="002C5E1D" w:rsidRPr="00383EFB" w:rsidRDefault="002C5E1D" w:rsidP="002C5E1D">
      <w:pPr>
        <w:pStyle w:val="BlockText"/>
        <w:numPr>
          <w:ilvl w:val="0"/>
          <w:numId w:val="30"/>
        </w:numPr>
        <w:rPr>
          <w:b/>
        </w:rPr>
      </w:pPr>
      <w:r w:rsidRPr="00383EFB">
        <w:rPr>
          <w:b/>
        </w:rPr>
        <w:t>Environmental Protection</w:t>
      </w:r>
      <w:r>
        <w:rPr>
          <w:b/>
        </w:rPr>
        <w:t>: To be determined.</w:t>
      </w:r>
    </w:p>
    <w:p w:rsidR="002E2A6D" w:rsidRPr="002E2A6D" w:rsidRDefault="002E2A6D" w:rsidP="002E2A6D">
      <w:pPr>
        <w:pStyle w:val="BlockText"/>
        <w:ind w:left="720"/>
      </w:pPr>
    </w:p>
    <w:p w:rsidR="00383EFB" w:rsidRPr="00BB3CE8" w:rsidRDefault="0098369B" w:rsidP="00011776">
      <w:pPr>
        <w:pStyle w:val="BlockText"/>
        <w:numPr>
          <w:ilvl w:val="0"/>
          <w:numId w:val="30"/>
        </w:numPr>
      </w:pPr>
      <w:r w:rsidRPr="0098369B">
        <w:rPr>
          <w:b/>
        </w:rPr>
        <w:t>Health</w:t>
      </w:r>
      <w:r w:rsidR="00CA1872">
        <w:t>: Water Qualit</w:t>
      </w:r>
      <w:r w:rsidR="00383EFB">
        <w:t>y/Septic Tanks</w:t>
      </w:r>
      <w:r w:rsidR="00D9771C">
        <w:t xml:space="preserve"> – Chapter 381</w:t>
      </w:r>
      <w:r w:rsidR="00383EFB">
        <w:t xml:space="preserve"> and 64E</w:t>
      </w:r>
      <w:r w:rsidR="002E2A6D">
        <w:t xml:space="preserve"> FAC:</w:t>
      </w:r>
      <w:r w:rsidR="00221AAE">
        <w:t xml:space="preserve"> None of the various bills filed for consideration during the 2011 regular legislative session, repealing the inspection and repair requirements enacted in 2010, passed</w:t>
      </w:r>
      <w:r w:rsidR="00221AAE" w:rsidRPr="00BB3CE8">
        <w:t>.</w:t>
      </w:r>
      <w:r w:rsidR="002B0DFC" w:rsidRPr="00BB3CE8">
        <w:t xml:space="preserve"> However, lan</w:t>
      </w:r>
      <w:r w:rsidR="00016A29" w:rsidRPr="00BB3CE8">
        <w:t xml:space="preserve">guage was included in the budget implementing bill </w:t>
      </w:r>
      <w:r w:rsidR="00BB3CE8">
        <w:t xml:space="preserve">for 2011-2012 </w:t>
      </w:r>
      <w:r w:rsidR="00016A29" w:rsidRPr="00BB3CE8">
        <w:t>that prohibits the Department of Health from expending any monies for the inspection program without first seeking and obtaining approval of the Legislative Budget Commission</w:t>
      </w:r>
      <w:r w:rsidR="0005012E" w:rsidRPr="00BB3CE8">
        <w:t>.</w:t>
      </w:r>
      <w:r w:rsidR="00222C12" w:rsidRPr="00BB3CE8">
        <w:t xml:space="preserve"> In addition, several bills have already been filed in the House and in the Senate for the 2012 legislative session to repeal the 2010 provisions.</w:t>
      </w:r>
    </w:p>
    <w:p w:rsidR="00227443" w:rsidRPr="00BB3CE8" w:rsidRDefault="00227443" w:rsidP="00227443">
      <w:pPr>
        <w:pStyle w:val="BlockText"/>
        <w:ind w:left="720"/>
      </w:pPr>
    </w:p>
    <w:p w:rsidR="00251EB1" w:rsidRDefault="00251EB1" w:rsidP="00305FDE">
      <w:pPr>
        <w:pStyle w:val="BlockText"/>
        <w:numPr>
          <w:ilvl w:val="0"/>
          <w:numId w:val="30"/>
        </w:numPr>
      </w:pPr>
      <w:r w:rsidRPr="00251EB1">
        <w:rPr>
          <w:b/>
        </w:rPr>
        <w:t>Financial Services</w:t>
      </w:r>
      <w:r w:rsidR="00CA1872">
        <w:t>: Workers’ Compensation Insu</w:t>
      </w:r>
      <w:r w:rsidR="002E2A6D">
        <w:t>rance – Chapter 440 and 69L FAC:</w:t>
      </w:r>
    </w:p>
    <w:p w:rsidR="00227443" w:rsidRDefault="00227443" w:rsidP="00227443">
      <w:pPr>
        <w:pStyle w:val="BlockText"/>
        <w:ind w:left="720"/>
        <w:rPr>
          <w:b/>
        </w:rPr>
      </w:pPr>
    </w:p>
    <w:p w:rsidR="00DE0FB7" w:rsidRDefault="00252DC4" w:rsidP="00016A29">
      <w:pPr>
        <w:pStyle w:val="BlockText"/>
        <w:ind w:left="360"/>
      </w:pPr>
      <w:r w:rsidRPr="00252DC4">
        <w:rPr>
          <w:b/>
          <w:u w:val="single"/>
        </w:rPr>
        <w:t>Warning:</w:t>
      </w:r>
      <w:r>
        <w:t xml:space="preserve"> Insurance carriers and their representative j</w:t>
      </w:r>
      <w:r w:rsidR="00EF1953">
        <w:t>oint underwriter association appear to be now</w:t>
      </w:r>
      <w:r>
        <w:t xml:space="preserve"> checking for policies or exemptions issued to recently qualified businesses, and filing complaints with DBPR for those who do no</w:t>
      </w:r>
      <w:r w:rsidR="00EF1953">
        <w:t>t have either</w:t>
      </w:r>
      <w:r>
        <w:t xml:space="preserve">. While the current </w:t>
      </w:r>
      <w:r w:rsidR="00EF1953">
        <w:t xml:space="preserve">licensure </w:t>
      </w:r>
      <w:r>
        <w:t xml:space="preserve">application forms purport to require such insurance coverage within thirty (30) days of licensure, there does not appear to be any statutory requirement for WC coverage until a business has a </w:t>
      </w:r>
      <w:r w:rsidR="006E5C27">
        <w:t>payroll</w:t>
      </w:r>
      <w:r>
        <w:t>.</w:t>
      </w:r>
    </w:p>
    <w:p w:rsidR="00222C12" w:rsidRDefault="00222C12" w:rsidP="00016A29">
      <w:pPr>
        <w:pStyle w:val="BlockText"/>
        <w:ind w:left="360"/>
      </w:pPr>
    </w:p>
    <w:p w:rsidR="00222C12" w:rsidRDefault="00222C12" w:rsidP="00016A29">
      <w:pPr>
        <w:pStyle w:val="BlockText"/>
        <w:ind w:left="36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8B06DE" w:rsidRPr="00016A29" w:rsidRDefault="008B06DE" w:rsidP="00016A29">
      <w:pPr>
        <w:pStyle w:val="BlockText"/>
        <w:ind w:left="360"/>
      </w:pPr>
    </w:p>
    <w:p w:rsidR="002B0DFC" w:rsidRDefault="002B0DFC" w:rsidP="004A582F">
      <w:pPr>
        <w:pStyle w:val="BlockText"/>
        <w:rPr>
          <w:b/>
          <w:u w:val="single"/>
        </w:rPr>
      </w:pPr>
    </w:p>
    <w:tbl>
      <w:tblPr>
        <w:tblW w:w="4900" w:type="pct"/>
        <w:jc w:val="center"/>
        <w:tblCellSpacing w:w="0" w:type="dxa"/>
        <w:tblCellMar>
          <w:top w:w="15" w:type="dxa"/>
          <w:left w:w="15" w:type="dxa"/>
          <w:bottom w:w="15" w:type="dxa"/>
          <w:right w:w="15" w:type="dxa"/>
        </w:tblCellMar>
        <w:tblLook w:val="04A0"/>
      </w:tblPr>
      <w:tblGrid>
        <w:gridCol w:w="9484"/>
      </w:tblGrid>
      <w:tr w:rsidR="009E489B" w:rsidTr="009E489B">
        <w:trPr>
          <w:tblCellSpacing w:w="0" w:type="dxa"/>
          <w:jc w:val="center"/>
        </w:trPr>
        <w:tc>
          <w:tcPr>
            <w:tcW w:w="0" w:type="auto"/>
            <w:vAlign w:val="center"/>
            <w:hideMark/>
          </w:tcPr>
          <w:tbl>
            <w:tblPr>
              <w:tblW w:w="5000" w:type="pct"/>
              <w:tblCellSpacing w:w="0" w:type="dxa"/>
              <w:tblCellMar>
                <w:top w:w="15" w:type="dxa"/>
                <w:left w:w="15" w:type="dxa"/>
                <w:bottom w:w="15" w:type="dxa"/>
                <w:right w:w="15" w:type="dxa"/>
              </w:tblCellMar>
              <w:tblLook w:val="04A0"/>
            </w:tblPr>
            <w:tblGrid>
              <w:gridCol w:w="9298"/>
              <w:gridCol w:w="156"/>
            </w:tblGrid>
            <w:tr w:rsidR="009E489B">
              <w:trPr>
                <w:tblCellSpacing w:w="0" w:type="dxa"/>
              </w:trPr>
              <w:tc>
                <w:tcPr>
                  <w:tcW w:w="0" w:type="auto"/>
                  <w:tcMar>
                    <w:top w:w="45" w:type="dxa"/>
                    <w:left w:w="75" w:type="dxa"/>
                    <w:bottom w:w="45" w:type="dxa"/>
                    <w:right w:w="75" w:type="dxa"/>
                  </w:tcMar>
                  <w:vAlign w:val="center"/>
                  <w:hideMark/>
                </w:tcPr>
                <w:p w:rsidR="009E489B" w:rsidRDefault="00CD02EB" w:rsidP="00CB18D5">
                  <w:pPr>
                    <w:rPr>
                      <w:rFonts w:ascii="Arial" w:hAnsi="Arial" w:cs="Arial"/>
                      <w:b/>
                      <w:bCs/>
                      <w:color w:val="FFFFFF"/>
                      <w:sz w:val="20"/>
                      <w:szCs w:val="20"/>
                    </w:rPr>
                  </w:pPr>
                  <w:r w:rsidRPr="00CD02EB">
                    <w:rPr>
                      <w:b/>
                      <w:u w:val="single"/>
                    </w:rPr>
                    <w:t>Legislative Action:</w:t>
                  </w:r>
                  <w:r w:rsidR="009E489B">
                    <w:rPr>
                      <w:b/>
                      <w:u w:val="single"/>
                    </w:rPr>
                    <w:t xml:space="preserve"> </w:t>
                  </w:r>
                  <w:r w:rsidR="009E489B">
                    <w:t xml:space="preserve">The following </w:t>
                  </w:r>
                  <w:r w:rsidR="001D25D1">
                    <w:t xml:space="preserve">42 </w:t>
                  </w:r>
                  <w:r w:rsidR="009E489B">
                    <w:t>construction-related bills have been filed to date for consideration during the 2012 regular legislativ</w:t>
                  </w:r>
                  <w:r w:rsidR="005D217B">
                    <w:t>e session that begins January 10</w:t>
                  </w:r>
                  <w:r w:rsidR="009E489B">
                    <w:t>, 2012:</w:t>
                  </w:r>
                  <w:r w:rsidR="009E489B">
                    <w:rPr>
                      <w:rFonts w:ascii="Arial" w:hAnsi="Arial" w:cs="Arial"/>
                      <w:b/>
                      <w:bCs/>
                      <w:color w:val="FFFFFF"/>
                      <w:sz w:val="20"/>
                      <w:szCs w:val="20"/>
                    </w:rPr>
                    <w:t xml:space="preserve"> 2</w:t>
                  </w:r>
                  <w:r w:rsidR="00CB18D5">
                    <w:rPr>
                      <w:rFonts w:ascii="Arial" w:hAnsi="Arial" w:cs="Arial"/>
                      <w:b/>
                      <w:bCs/>
                      <w:color w:val="FFFFFF"/>
                      <w:sz w:val="20"/>
                      <w:szCs w:val="20"/>
                    </w:rPr>
                    <w:t xml:space="preserve"> </w:t>
                  </w:r>
                  <w:r w:rsidR="009E489B">
                    <w:rPr>
                      <w:rFonts w:ascii="Arial" w:hAnsi="Arial" w:cs="Arial"/>
                      <w:b/>
                      <w:bCs/>
                      <w:color w:val="FFFFFF"/>
                      <w:sz w:val="20"/>
                      <w:szCs w:val="20"/>
                    </w:rPr>
                    <w:t xml:space="preserve"> (13) </w:t>
                  </w:r>
                </w:p>
              </w:tc>
              <w:tc>
                <w:tcPr>
                  <w:tcW w:w="0" w:type="auto"/>
                  <w:tcMar>
                    <w:top w:w="45" w:type="dxa"/>
                    <w:left w:w="75" w:type="dxa"/>
                    <w:bottom w:w="45" w:type="dxa"/>
                    <w:right w:w="75" w:type="dxa"/>
                  </w:tcMar>
                  <w:vAlign w:val="center"/>
                  <w:hideMark/>
                </w:tcPr>
                <w:p w:rsidR="009E489B" w:rsidRDefault="009E489B">
                  <w:pPr>
                    <w:jc w:val="right"/>
                    <w:rPr>
                      <w:rFonts w:ascii="Arial" w:hAnsi="Arial" w:cs="Arial"/>
                      <w:b/>
                      <w:bCs/>
                      <w:color w:val="FFFFFF"/>
                      <w:sz w:val="20"/>
                      <w:szCs w:val="20"/>
                    </w:rPr>
                  </w:pPr>
                </w:p>
              </w:tc>
            </w:tr>
          </w:tbl>
          <w:p w:rsidR="009E489B" w:rsidRDefault="009E489B">
            <w:pPr>
              <w:rPr>
                <w:rFonts w:ascii="Arial" w:hAnsi="Arial" w:cs="Arial"/>
                <w:sz w:val="20"/>
                <w:szCs w:val="20"/>
              </w:rPr>
            </w:pPr>
          </w:p>
        </w:tc>
      </w:tr>
      <w:tr w:rsidR="00B94BF6" w:rsidTr="00B94BF6">
        <w:trPr>
          <w:tblCellSpacing w:w="0" w:type="dxa"/>
          <w:jc w:val="center"/>
        </w:trPr>
        <w:tc>
          <w:tcPr>
            <w:tcW w:w="0" w:type="auto"/>
            <w:vAlign w:val="center"/>
            <w:hideMark/>
          </w:tcPr>
          <w:tbl>
            <w:tblPr>
              <w:tblW w:w="5000" w:type="pct"/>
              <w:tblCellSpacing w:w="0" w:type="dxa"/>
              <w:tblCellMar>
                <w:top w:w="15" w:type="dxa"/>
                <w:left w:w="15" w:type="dxa"/>
                <w:bottom w:w="15" w:type="dxa"/>
                <w:right w:w="15" w:type="dxa"/>
              </w:tblCellMar>
              <w:tblLook w:val="04A0"/>
            </w:tblPr>
            <w:tblGrid>
              <w:gridCol w:w="9298"/>
              <w:gridCol w:w="156"/>
            </w:tblGrid>
            <w:tr w:rsidR="00B94BF6">
              <w:trPr>
                <w:tblCellSpacing w:w="0" w:type="dxa"/>
              </w:trPr>
              <w:tc>
                <w:tcPr>
                  <w:tcW w:w="0" w:type="auto"/>
                  <w:tcMar>
                    <w:top w:w="45" w:type="dxa"/>
                    <w:left w:w="75" w:type="dxa"/>
                    <w:bottom w:w="45" w:type="dxa"/>
                    <w:right w:w="75" w:type="dxa"/>
                  </w:tcMar>
                  <w:vAlign w:val="center"/>
                  <w:hideMark/>
                </w:tcPr>
                <w:tbl>
                  <w:tblPr>
                    <w:tblW w:w="4900" w:type="pct"/>
                    <w:jc w:val="center"/>
                    <w:tblCellSpacing w:w="0" w:type="dxa"/>
                    <w:tblCellMar>
                      <w:top w:w="15" w:type="dxa"/>
                      <w:left w:w="15" w:type="dxa"/>
                      <w:bottom w:w="15" w:type="dxa"/>
                      <w:right w:w="15" w:type="dxa"/>
                    </w:tblCellMar>
                    <w:tblLook w:val="04A0"/>
                  </w:tblPr>
                  <w:tblGrid>
                    <w:gridCol w:w="944"/>
                    <w:gridCol w:w="4721"/>
                    <w:gridCol w:w="1888"/>
                    <w:gridCol w:w="945"/>
                    <w:gridCol w:w="95"/>
                    <w:gridCol w:w="204"/>
                    <w:gridCol w:w="84"/>
                    <w:gridCol w:w="84"/>
                  </w:tblGrid>
                  <w:tr w:rsidR="001D25D1" w:rsidTr="001D25D1">
                    <w:trPr>
                      <w:tblCellSpacing w:w="0" w:type="dxa"/>
                      <w:jc w:val="center"/>
                    </w:trPr>
                    <w:tc>
                      <w:tcPr>
                        <w:tcW w:w="0" w:type="auto"/>
                        <w:gridSpan w:val="8"/>
                        <w:vAlign w:val="center"/>
                        <w:hideMark/>
                      </w:tcPr>
                      <w:tbl>
                        <w:tblPr>
                          <w:tblW w:w="431" w:type="pct"/>
                          <w:tblCellSpacing w:w="0" w:type="dxa"/>
                          <w:tblCellMar>
                            <w:top w:w="15" w:type="dxa"/>
                            <w:left w:w="15" w:type="dxa"/>
                            <w:bottom w:w="15" w:type="dxa"/>
                            <w:right w:w="15" w:type="dxa"/>
                          </w:tblCellMar>
                          <w:tblLook w:val="04A0"/>
                        </w:tblPr>
                        <w:tblGrid>
                          <w:gridCol w:w="770"/>
                        </w:tblGrid>
                        <w:tr w:rsidR="00936542" w:rsidTr="00936542">
                          <w:trPr>
                            <w:tblCellSpacing w:w="0" w:type="dxa"/>
                          </w:trPr>
                          <w:tc>
                            <w:tcPr>
                              <w:tcW w:w="0" w:type="auto"/>
                              <w:tcMar>
                                <w:top w:w="45" w:type="dxa"/>
                                <w:left w:w="75" w:type="dxa"/>
                                <w:bottom w:w="45" w:type="dxa"/>
                                <w:right w:w="75" w:type="dxa"/>
                              </w:tcMar>
                              <w:vAlign w:val="center"/>
                              <w:hideMark/>
                            </w:tcPr>
                            <w:p w:rsidR="00936542" w:rsidRDefault="00936542" w:rsidP="00936542">
                              <w:pPr>
                                <w:rPr>
                                  <w:rFonts w:ascii="Arial" w:hAnsi="Arial" w:cs="Arial"/>
                                  <w:b/>
                                  <w:bCs/>
                                  <w:color w:val="FFFFFF"/>
                                  <w:sz w:val="20"/>
                                  <w:szCs w:val="20"/>
                                </w:rPr>
                              </w:pPr>
                            </w:p>
                          </w:tc>
                        </w:tr>
                      </w:tbl>
                      <w:p w:rsidR="001D25D1" w:rsidRDefault="001D25D1">
                        <w:pPr>
                          <w:rPr>
                            <w:rFonts w:ascii="Arial" w:hAnsi="Arial" w:cs="Arial"/>
                            <w:sz w:val="20"/>
                            <w:szCs w:val="20"/>
                          </w:rPr>
                        </w:pPr>
                      </w:p>
                    </w:tc>
                  </w:tr>
                  <w:tr w:rsidR="001D25D1" w:rsidTr="001D25D1">
                    <w:trPr>
                      <w:tblCellSpacing w:w="0" w:type="dxa"/>
                      <w:jc w:val="center"/>
                    </w:trPr>
                    <w:tc>
                      <w:tcPr>
                        <w:tcW w:w="500" w:type="pct"/>
                        <w:vAlign w:val="center"/>
                        <w:hideMark/>
                      </w:tcPr>
                      <w:p w:rsidR="001D25D1" w:rsidRDefault="001D25D1">
                        <w:pPr>
                          <w:rPr>
                            <w:rFonts w:ascii="Arial" w:hAnsi="Arial" w:cs="Arial"/>
                            <w:b/>
                            <w:bCs/>
                            <w:color w:val="000000"/>
                            <w:sz w:val="20"/>
                            <w:szCs w:val="20"/>
                          </w:rPr>
                        </w:pPr>
                        <w:r>
                          <w:rPr>
                            <w:rFonts w:ascii="Arial" w:hAnsi="Arial" w:cs="Arial"/>
                            <w:b/>
                            <w:bCs/>
                            <w:color w:val="000000"/>
                            <w:sz w:val="20"/>
                            <w:szCs w:val="20"/>
                          </w:rPr>
                          <w:t>Num</w:t>
                        </w:r>
                      </w:p>
                    </w:tc>
                    <w:tc>
                      <w:tcPr>
                        <w:tcW w:w="2500" w:type="pct"/>
                        <w:vAlign w:val="center"/>
                        <w:hideMark/>
                      </w:tcPr>
                      <w:p w:rsidR="001D25D1" w:rsidRDefault="001D25D1">
                        <w:pPr>
                          <w:rPr>
                            <w:rFonts w:ascii="Arial" w:hAnsi="Arial" w:cs="Arial"/>
                            <w:b/>
                            <w:bCs/>
                            <w:color w:val="000000"/>
                            <w:sz w:val="20"/>
                            <w:szCs w:val="20"/>
                          </w:rPr>
                        </w:pPr>
                        <w:r>
                          <w:rPr>
                            <w:rFonts w:ascii="Arial" w:hAnsi="Arial" w:cs="Arial"/>
                            <w:b/>
                            <w:bCs/>
                            <w:color w:val="000000"/>
                            <w:sz w:val="20"/>
                            <w:szCs w:val="20"/>
                          </w:rPr>
                          <w:t>Title</w:t>
                        </w:r>
                      </w:p>
                    </w:tc>
                    <w:tc>
                      <w:tcPr>
                        <w:tcW w:w="1000" w:type="pct"/>
                        <w:vAlign w:val="center"/>
                        <w:hideMark/>
                      </w:tcPr>
                      <w:p w:rsidR="001D25D1" w:rsidRDefault="001D25D1">
                        <w:pPr>
                          <w:rPr>
                            <w:rFonts w:ascii="Arial" w:hAnsi="Arial" w:cs="Arial"/>
                            <w:b/>
                            <w:bCs/>
                            <w:color w:val="000000"/>
                            <w:sz w:val="20"/>
                            <w:szCs w:val="20"/>
                          </w:rPr>
                        </w:pPr>
                        <w:r>
                          <w:rPr>
                            <w:rFonts w:ascii="Arial" w:hAnsi="Arial" w:cs="Arial"/>
                            <w:b/>
                            <w:bCs/>
                            <w:color w:val="000000"/>
                            <w:sz w:val="20"/>
                            <w:szCs w:val="20"/>
                          </w:rPr>
                          <w:t>Sponsor</w:t>
                        </w:r>
                      </w:p>
                    </w:tc>
                    <w:tc>
                      <w:tcPr>
                        <w:tcW w:w="500" w:type="pct"/>
                        <w:vAlign w:val="center"/>
                        <w:hideMark/>
                      </w:tcPr>
                      <w:p w:rsidR="001D25D1" w:rsidRDefault="001D25D1">
                        <w:pPr>
                          <w:rPr>
                            <w:rFonts w:ascii="Arial" w:hAnsi="Arial" w:cs="Arial"/>
                            <w:b/>
                            <w:bCs/>
                            <w:color w:val="000000"/>
                            <w:sz w:val="20"/>
                            <w:szCs w:val="20"/>
                          </w:rPr>
                        </w:pPr>
                        <w:r>
                          <w:rPr>
                            <w:rFonts w:ascii="Arial" w:hAnsi="Arial" w:cs="Arial"/>
                            <w:b/>
                            <w:bCs/>
                            <w:color w:val="000000"/>
                            <w:sz w:val="20"/>
                            <w:szCs w:val="20"/>
                          </w:rPr>
                          <w:t> </w:t>
                        </w:r>
                      </w:p>
                    </w:tc>
                    <w:tc>
                      <w:tcPr>
                        <w:tcW w:w="50" w:type="pct"/>
                        <w:vAlign w:val="center"/>
                        <w:hideMark/>
                      </w:tcPr>
                      <w:p w:rsidR="001D25D1" w:rsidRDefault="001D25D1">
                        <w:pPr>
                          <w:rPr>
                            <w:rFonts w:ascii="Arial" w:hAnsi="Arial" w:cs="Arial"/>
                            <w:b/>
                            <w:bCs/>
                            <w:color w:val="000000"/>
                            <w:sz w:val="20"/>
                            <w:szCs w:val="20"/>
                          </w:rPr>
                        </w:pPr>
                      </w:p>
                    </w:tc>
                    <w:tc>
                      <w:tcPr>
                        <w:tcW w:w="200" w:type="pct"/>
                        <w:gridSpan w:val="3"/>
                        <w:vAlign w:val="center"/>
                        <w:hideMark/>
                      </w:tcPr>
                      <w:p w:rsidR="001D25D1" w:rsidRDefault="001D25D1">
                        <w:pPr>
                          <w:rPr>
                            <w:rFonts w:ascii="Arial" w:hAnsi="Arial" w:cs="Arial"/>
                            <w:b/>
                            <w:bCs/>
                            <w:color w:val="000000"/>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7" w:history="1">
                          <w:r w:rsidR="001D25D1">
                            <w:rPr>
                              <w:rStyle w:val="Hyperlink"/>
                              <w:rFonts w:ascii="Arial" w:hAnsi="Arial" w:cs="Arial"/>
                              <w:sz w:val="20"/>
                              <w:szCs w:val="20"/>
                            </w:rPr>
                            <w:t>SB 0078</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Electrical Contracting</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8" w:history="1">
                          <w:r w:rsidR="001D25D1">
                            <w:rPr>
                              <w:rStyle w:val="Hyperlink"/>
                              <w:rFonts w:ascii="Arial" w:hAnsi="Arial" w:cs="Arial"/>
                              <w:sz w:val="20"/>
                              <w:szCs w:val="20"/>
                            </w:rPr>
                            <w:t>Wise</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09/21/11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Electrical Contracting; Revising the authority of municipalities and counties to require that certain electrical journeyman be present on certain industrial or commercial construction sites, etc.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08/30/11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19"/>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09/21/11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Referred to Regulated Industries; Community Affairs</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9" w:history="1">
                          <w:r w:rsidR="001D25D1">
                            <w:rPr>
                              <w:rStyle w:val="Hyperlink"/>
                              <w:rFonts w:ascii="Arial" w:hAnsi="Arial" w:cs="Arial"/>
                              <w:sz w:val="20"/>
                              <w:szCs w:val="20"/>
                            </w:rPr>
                            <w:t>HB 0079</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0" w:history="1">
                          <w:r w:rsidR="001D25D1">
                            <w:rPr>
                              <w:rStyle w:val="Hyperlink"/>
                              <w:rFonts w:ascii="Arial" w:hAnsi="Arial" w:cs="Arial"/>
                              <w:sz w:val="20"/>
                              <w:szCs w:val="20"/>
                            </w:rPr>
                            <w:t>Coley</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09/15/11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1" w:history="1">
                          <w:r>
                            <w:rPr>
                              <w:rStyle w:val="Hyperlink"/>
                              <w:rFonts w:ascii="Arial" w:hAnsi="Arial" w:cs="Arial"/>
                              <w:sz w:val="15"/>
                              <w:szCs w:val="15"/>
                            </w:rPr>
                            <w:t>0820</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12" w:history="1">
                          <w:r>
                            <w:rPr>
                              <w:rStyle w:val="Hyperlink"/>
                              <w:rFonts w:ascii="Arial" w:hAnsi="Arial" w:cs="Arial"/>
                              <w:sz w:val="15"/>
                              <w:szCs w:val="15"/>
                            </w:rPr>
                            <w:t>0114</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13" w:history="1">
                          <w:r>
                            <w:rPr>
                              <w:rStyle w:val="Hyperlink"/>
                              <w:rFonts w:ascii="Arial" w:hAnsi="Arial" w:cs="Arial"/>
                              <w:sz w:val="15"/>
                              <w:szCs w:val="15"/>
                            </w:rPr>
                            <w:t>0178</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Onsite Sewage Treatment and Disposal Systems: Revises legislative intent; eliminates provisions directing DOH to create &amp; administer statewide septic tank evaluation program; eliminates procedures &amp; criteria for evaluation program; terminates grant program for repair of onsite sewage treatment disposal systems identified pursuant to evaluation program, to conform; eliminates provisions authorizing DOH to collect evaluation report fee &amp; provisions relating to disposition of fee proceeds &amp; revenue-neutral fee schedule. Effective Date: upon becoming a law</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08/08/11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365"/>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09/15/11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Referred to Agriculture &amp; Natural Resources Subcommittee; Health Care Appropriations Subcommittee; State Affairs 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19"/>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09/15/11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Now in Agriculture &amp; Natural Resources Subcommittee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4" w:history="1">
                          <w:r w:rsidR="001D25D1">
                            <w:rPr>
                              <w:rStyle w:val="Hyperlink"/>
                              <w:rFonts w:ascii="Arial" w:hAnsi="Arial" w:cs="Arial"/>
                              <w:sz w:val="20"/>
                              <w:szCs w:val="20"/>
                            </w:rPr>
                            <w:t>SB 0088</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Sovereignty Submerged Lands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5" w:history="1">
                          <w:r w:rsidR="001D25D1">
                            <w:rPr>
                              <w:rStyle w:val="Hyperlink"/>
                              <w:rFonts w:ascii="Arial" w:hAnsi="Arial" w:cs="Arial"/>
                              <w:sz w:val="20"/>
                              <w:szCs w:val="20"/>
                            </w:rPr>
                            <w:t>Latvala</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10/17/11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6" w:history="1">
                          <w:r>
                            <w:rPr>
                              <w:rStyle w:val="Hyperlink"/>
                              <w:rFonts w:ascii="Arial" w:hAnsi="Arial" w:cs="Arial"/>
                              <w:sz w:val="15"/>
                              <w:szCs w:val="15"/>
                            </w:rPr>
                            <w:t>0013</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Sovereignty Submerged Lands; Providing for the lease of sovereignty submerged lands for private residential single-family docks and piers, private residential multifamily docks and piers, and private residential multislip docks; providing for the term of the lease and lease fees; providing for inspection of such docks, piers, and related structures by the Department of Environmental Protection; clarifying the authority of the Board of Trustees of the Internal Improvement Trust Fund and the department to impose additional fees and requirements, etc. APPROPRIATION: $1,000,000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08/29/11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053"/>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09/08/11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Referred to Environmental Preservation and Conservation; Budget</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196"/>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09/26/11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On Committee agenda - Environmental Preservation and Conservation, 10/05/11, 10:45 am, 110 S</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996"/>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10/05/11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Favorable with 1 Amendment by Environmental Preservation and Conservation; 5 Yeas, 0 Nays</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1618"/>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10/11/11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Now in Budget</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79"/>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10/17/11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Subreferred to Budget Subcommittee on General Government Appropriations</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10/17/11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Now in Budget Subcommittee on General Government Appropriations</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7" w:history="1">
                          <w:r w:rsidR="001D25D1">
                            <w:rPr>
                              <w:rStyle w:val="Hyperlink"/>
                              <w:rFonts w:ascii="Arial" w:hAnsi="Arial" w:cs="Arial"/>
                              <w:sz w:val="20"/>
                              <w:szCs w:val="20"/>
                            </w:rPr>
                            <w:t>SB 0114</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8" w:history="1">
                          <w:r w:rsidR="001D25D1">
                            <w:rPr>
                              <w:rStyle w:val="Hyperlink"/>
                              <w:rFonts w:ascii="Arial" w:hAnsi="Arial" w:cs="Arial"/>
                              <w:sz w:val="20"/>
                              <w:szCs w:val="20"/>
                            </w:rPr>
                            <w:t>Evers</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09/08/11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9" w:history="1">
                          <w:r>
                            <w:rPr>
                              <w:rStyle w:val="Hyperlink"/>
                              <w:rFonts w:ascii="Arial" w:hAnsi="Arial" w:cs="Arial"/>
                              <w:sz w:val="15"/>
                              <w:szCs w:val="15"/>
                            </w:rPr>
                            <w:t>0115</w:t>
                          </w:r>
                        </w:hyperlink>
                        <w:r>
                          <w:rPr>
                            <w:rFonts w:ascii="Arial" w:hAnsi="Arial" w:cs="Arial"/>
                            <w:sz w:val="15"/>
                            <w:szCs w:val="15"/>
                          </w:rPr>
                          <w:t xml:space="preserve"> </w:t>
                        </w:r>
                        <w:hyperlink r:id="rId20" w:history="1">
                          <w:r>
                            <w:rPr>
                              <w:rStyle w:val="Hyperlink"/>
                              <w:rFonts w:ascii="Arial" w:hAnsi="Arial" w:cs="Arial"/>
                              <w:sz w:val="15"/>
                              <w:szCs w:val="15"/>
                            </w:rPr>
                            <w:t>0558</w:t>
                          </w:r>
                        </w:hyperlink>
                        <w:r>
                          <w:rPr>
                            <w:rFonts w:ascii="Arial" w:hAnsi="Arial" w:cs="Arial"/>
                            <w:sz w:val="15"/>
                            <w:szCs w:val="15"/>
                          </w:rPr>
                          <w:t xml:space="preserve"> </w:t>
                        </w:r>
                        <w:hyperlink r:id="rId21" w:history="1">
                          <w:r>
                            <w:rPr>
                              <w:rStyle w:val="Hyperlink"/>
                              <w:rFonts w:ascii="Arial" w:hAnsi="Arial" w:cs="Arial"/>
                              <w:sz w:val="15"/>
                              <w:szCs w:val="15"/>
                            </w:rPr>
                            <w:t>0820</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22" w:history="1">
                          <w:r>
                            <w:rPr>
                              <w:rStyle w:val="Hyperlink"/>
                              <w:rFonts w:ascii="Arial" w:hAnsi="Arial" w:cs="Arial"/>
                              <w:sz w:val="15"/>
                              <w:szCs w:val="15"/>
                            </w:rPr>
                            <w:t>0079</w:t>
                          </w:r>
                        </w:hyperlink>
                        <w:r>
                          <w:rPr>
                            <w:rFonts w:ascii="Arial" w:hAnsi="Arial" w:cs="Arial"/>
                            <w:sz w:val="15"/>
                            <w:szCs w:val="15"/>
                          </w:rPr>
                          <w:t xml:space="preserve"> </w:t>
                        </w:r>
                        <w:hyperlink r:id="rId23" w:history="1">
                          <w:r>
                            <w:rPr>
                              <w:rStyle w:val="Hyperlink"/>
                              <w:rFonts w:ascii="Arial" w:hAnsi="Arial" w:cs="Arial"/>
                              <w:sz w:val="15"/>
                              <w:szCs w:val="15"/>
                            </w:rPr>
                            <w:t>0178</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Onsite Sewage Treatment and Disposal Systems; Deleting legislative intent relating to onsite sewage treatment and disposal systems; conforming a cross-reference; eliminating provisions directing the Department of Health to create and administer a statewide septic tank evaluation program; eliminating procedures and criteria for the evaluation program; deleting an obsolete reporting requirement; eliminating provisions authorizing the department to collect an evaluation report fee; eliminating provisions relating to disposition of fee proceeds and a revenue-neutral fee schedule; relating to the grant program for the repair of onsite sewage treatment disposal systems identified pursuant to the evaluation program, to conform. EFFECTIVE DATE: upon becoming a law</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08/29/11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29"/>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09/08/11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Referred to Health Regulation; Environmental Preservation and Conservation; Budget</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24" w:history="1">
                          <w:r w:rsidR="001D25D1">
                            <w:rPr>
                              <w:rStyle w:val="Hyperlink"/>
                              <w:rFonts w:ascii="Arial" w:hAnsi="Arial" w:cs="Arial"/>
                              <w:sz w:val="20"/>
                              <w:szCs w:val="20"/>
                            </w:rPr>
                            <w:t>SB 0132</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Trespassing</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25" w:history="1">
                          <w:r w:rsidR="001D25D1">
                            <w:rPr>
                              <w:rStyle w:val="Hyperlink"/>
                              <w:rFonts w:ascii="Arial" w:hAnsi="Arial" w:cs="Arial"/>
                              <w:sz w:val="20"/>
                              <w:szCs w:val="20"/>
                            </w:rPr>
                            <w:t>Thrasher</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10/24/11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26" w:history="1">
                          <w:r>
                            <w:rPr>
                              <w:rStyle w:val="Hyperlink"/>
                              <w:rFonts w:ascii="Arial" w:hAnsi="Arial" w:cs="Arial"/>
                              <w:sz w:val="15"/>
                              <w:szCs w:val="15"/>
                            </w:rPr>
                            <w:t>0077</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Trespassing; Authorizing the use of purple paint marks to identify a "no trespassing" area; providing requirements for marks; requiring specified signage, etc.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08/29/11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95"/>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09/08/11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Referred to Environmental Preservation and Conservation; Criminal Justice; Budget</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365"/>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09/21/11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Reference to Environmental Preservation and Conservation removed; Remaining references: Community Affairs; Criminal Justice; Budget</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368"/>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09/21/11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Now in Community Affairs</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78"/>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10/06/11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On Committee agenda - Community Affairs, 10/19/11, 9:00 am, 412 K</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44"/>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10/19/11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Favorable with 1 amendment by Community Affairs; 6 Yeas, 0 Nays</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261"/>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10/21/11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Reference to Criminal Justice removed; Remaining reference: Budget</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12"/>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10/24/11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Reference to Criminal Justice added; Remaining references: Criminal Justice, Budget</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201"/>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10/24/11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Now in Criminal Justice</w:t>
                              </w:r>
                            </w:p>
                          </w:tc>
                        </w:tr>
                        <w:tr w:rsidR="001D25D1">
                          <w:trPr>
                            <w:tblCellSpacing w:w="0" w:type="dxa"/>
                          </w:trPr>
                          <w:tc>
                            <w:tcPr>
                              <w:tcW w:w="0" w:type="auto"/>
                              <w:hideMark/>
                            </w:tcPr>
                            <w:p w:rsidR="001D25D1" w:rsidRDefault="001D25D1">
                              <w:pPr>
                                <w:rPr>
                                  <w:rFonts w:ascii="Arial" w:hAnsi="Arial" w:cs="Arial"/>
                                  <w:sz w:val="15"/>
                                  <w:szCs w:val="15"/>
                                </w:rPr>
                              </w:pPr>
                            </w:p>
                          </w:tc>
                          <w:tc>
                            <w:tcPr>
                              <w:tcW w:w="0" w:type="auto"/>
                              <w:vAlign w:val="center"/>
                              <w:hideMark/>
                            </w:tcPr>
                            <w:p w:rsidR="001D25D1" w:rsidRDefault="001D25D1">
                              <w:pPr>
                                <w:rPr>
                                  <w:rFonts w:ascii="Arial" w:hAnsi="Arial" w:cs="Arial"/>
                                  <w:sz w:val="15"/>
                                  <w:szCs w:val="15"/>
                                </w:rPr>
                              </w:pP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27" w:history="1">
                          <w:r w:rsidR="001D25D1">
                            <w:rPr>
                              <w:rStyle w:val="Hyperlink"/>
                              <w:rFonts w:ascii="Arial" w:hAnsi="Arial" w:cs="Arial"/>
                              <w:sz w:val="20"/>
                              <w:szCs w:val="20"/>
                            </w:rPr>
                            <w:t>HB 0155</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Procurement of Professional Architectural, Engineering, Landscape Architectural, or Surveying and Mapping Services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28" w:history="1">
                          <w:r w:rsidR="001D25D1">
                            <w:rPr>
                              <w:rStyle w:val="Hyperlink"/>
                              <w:rFonts w:ascii="Arial" w:hAnsi="Arial" w:cs="Arial"/>
                              <w:sz w:val="20"/>
                              <w:szCs w:val="20"/>
                            </w:rPr>
                            <w:t>Costello</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10/03/11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29" w:history="1">
                          <w:r>
                            <w:rPr>
                              <w:rStyle w:val="Hyperlink"/>
                              <w:rFonts w:ascii="Arial" w:hAnsi="Arial" w:cs="Arial"/>
                              <w:sz w:val="15"/>
                              <w:szCs w:val="15"/>
                            </w:rPr>
                            <w:t>0246</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Procurement of Professional Architectural, Engineering, Landscape Architectural, or Surveying and Mapping Services: Revises definition of "continuing contract" &amp; defines "best value selection"; clarifies provisions with respect to selection of firms by agency under competitive selection process; provides that agency has right to reject any or all submissions received in response to public announcement under competitive selection process; authorizes agency to award contracts to multiple firms under competitive negotiation process; provides for best value selection process; requires agencies to adopt rules governing use of such process; provides minimum requirements with respect to best value selection procedures.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09/19/11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365"/>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10/03/11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Referred to Government Operations Subcommittee; Rulemaking &amp; Regulation Subcommittee; Government Operations Appropriations Subcommittee; State Affairs 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10/03/11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Now in Government Operations Subcommittee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30" w:history="1">
                          <w:r w:rsidR="001D25D1">
                            <w:rPr>
                              <w:rStyle w:val="Hyperlink"/>
                              <w:rFonts w:ascii="Arial" w:hAnsi="Arial" w:cs="Arial"/>
                              <w:sz w:val="20"/>
                              <w:szCs w:val="20"/>
                            </w:rPr>
                            <w:t>SB 0178</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31" w:history="1">
                          <w:r w:rsidR="001D25D1">
                            <w:rPr>
                              <w:rStyle w:val="Hyperlink"/>
                              <w:rFonts w:ascii="Arial" w:hAnsi="Arial" w:cs="Arial"/>
                              <w:sz w:val="20"/>
                              <w:szCs w:val="20"/>
                            </w:rPr>
                            <w:t>Lynn</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09/08/11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32" w:history="1">
                          <w:r>
                            <w:rPr>
                              <w:rStyle w:val="Hyperlink"/>
                              <w:rFonts w:ascii="Arial" w:hAnsi="Arial" w:cs="Arial"/>
                              <w:sz w:val="15"/>
                              <w:szCs w:val="15"/>
                            </w:rPr>
                            <w:t>0820</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33" w:history="1">
                          <w:r>
                            <w:rPr>
                              <w:rStyle w:val="Hyperlink"/>
                              <w:rFonts w:ascii="Arial" w:hAnsi="Arial" w:cs="Arial"/>
                              <w:sz w:val="15"/>
                              <w:szCs w:val="15"/>
                            </w:rPr>
                            <w:t>0114</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34" w:history="1">
                          <w:r>
                            <w:rPr>
                              <w:rStyle w:val="Hyperlink"/>
                              <w:rFonts w:ascii="Arial" w:hAnsi="Arial" w:cs="Arial"/>
                              <w:sz w:val="15"/>
                              <w:szCs w:val="15"/>
                            </w:rPr>
                            <w:t>0079</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Onsite Sewage Treatment and Disposal Systems; Eliminating provisions directing the Department of Health to create and administer a statewide septic tank evaluation program; eliminating procedures and criteria for the evaluation program; repealing a provision to terminate the grant program for repair of onsite sewage treatment disposal systems identified pursuant to the evaluation program, to conform; eliminating provisions authorizing the department to collect an evaluation report fee; eliminating provisions relating to disposition of fee proceeds and a revenue-neutral fee schedule, etc. EFFECTIVE DATE: upon becoming a law</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08/29/11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29"/>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09/08/11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Referred to Health Regulation; Environmental Preservation and Conservation; Budget</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35" w:history="1">
                          <w:r w:rsidR="001D25D1">
                            <w:rPr>
                              <w:rStyle w:val="Hyperlink"/>
                              <w:rFonts w:ascii="Arial" w:hAnsi="Arial" w:cs="Arial"/>
                              <w:sz w:val="20"/>
                              <w:szCs w:val="20"/>
                            </w:rPr>
                            <w:t>HB 0213</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Judicial Proceedings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36" w:history="1">
                          <w:r w:rsidR="001D25D1">
                            <w:rPr>
                              <w:rStyle w:val="Hyperlink"/>
                              <w:rFonts w:ascii="Arial" w:hAnsi="Arial" w:cs="Arial"/>
                              <w:sz w:val="20"/>
                              <w:szCs w:val="20"/>
                            </w:rPr>
                            <w:t>Passidomo</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10/17/11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Judicial Proceedings: Designates act "Florida Fair Foreclosure Act"; revises requirements for acknowledgement of satisfaction of mortgage, lien, or judgment; provides requirements for mortgage foreclosure complaints; requires party foreclosing on specified owner-occupied dwellings to provide specified notice; provides for finality of foreclosure; requires certain actions to set aside foreclosure to be treated as actions for money damages; provides requirements for preparation and recording of instrument acknowledging satisfaction; prohibits certain claims following foreclosure based on enforcement of lost, destroyed, or stolen note; provides requirements for deficiency decrees in foreclosures of certain occupied units; revises procedural provisions relating to foreclosure proceedings; provides for determination of reasonable attorney fees for foreclosing certain owner-occupied properties; provides for election by foreclosing lender to proceed without public sale in certain circumstances; provides for liability of persons wrongly claiming under lost, stolen, or destroyed notes; provides for sanctions for raising unsupported claims or defenses &amp; delay of litigation. Effective Date: October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09/26/11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365"/>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10/17/11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Referred to Civil Justice Subcommittee; Insurance &amp; Banking Subcommittee; Justice Appropriations Subcommittee; Judiciary 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868"/>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10/17/11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Now in Civil Justice Subcommittee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37" w:history="1">
                          <w:r w:rsidR="001D25D1">
                            <w:rPr>
                              <w:rStyle w:val="Hyperlink"/>
                              <w:rFonts w:ascii="Arial" w:hAnsi="Arial" w:cs="Arial"/>
                              <w:sz w:val="20"/>
                              <w:szCs w:val="20"/>
                            </w:rPr>
                            <w:t>SB 0214</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Workplace Safety</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38" w:history="1">
                          <w:r w:rsidR="001D25D1">
                            <w:rPr>
                              <w:rStyle w:val="Hyperlink"/>
                              <w:rFonts w:ascii="Arial" w:hAnsi="Arial" w:cs="Arial"/>
                              <w:sz w:val="20"/>
                              <w:szCs w:val="20"/>
                            </w:rPr>
                            <w:t>Lynn</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09/21/11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Workplace Safety; Requiring public employers to submit by a certain date injury and illness data to the Division of Workers' Compensation in the Department of Financial Services using a specified form; requiring the division to compile data from the reports and make the data available on the department's website; requiring the employer to retain the reports for 7 years; requiring the division to establish a toll-free telephone number for public employees relating to workplace safety by a certain date; requiring the division to provide certain information on its website by a certain date; requiring all public employers to comply with certain federal Occupation Safety and Health Administration standards by a certain date; revising the annual report submitted by the department to include an analysis and summary on public employers' work-related injuries and workers' compensation claims; requiring the report to be provided to public employers and related officials, etc.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09/14/11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365"/>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09/21/11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Referred to Banking and Insurance; Community Affairs; Governmental Oversight and Accountability; Budget</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39" w:history="1">
                          <w:r w:rsidR="001D25D1">
                            <w:rPr>
                              <w:rStyle w:val="Hyperlink"/>
                              <w:rFonts w:ascii="Arial" w:hAnsi="Arial" w:cs="Arial"/>
                              <w:sz w:val="20"/>
                              <w:szCs w:val="20"/>
                            </w:rPr>
                            <w:t>SB 0246</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Procurement of Professional Architectural, Engineering, Landscape Architectural, or Surveying and Mapping Services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40" w:history="1">
                          <w:r w:rsidR="001D25D1">
                            <w:rPr>
                              <w:rStyle w:val="Hyperlink"/>
                              <w:rFonts w:ascii="Arial" w:hAnsi="Arial" w:cs="Arial"/>
                              <w:sz w:val="20"/>
                              <w:szCs w:val="20"/>
                            </w:rPr>
                            <w:t>Bennett</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09/21/11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41" w:history="1">
                          <w:r>
                            <w:rPr>
                              <w:rStyle w:val="Hyperlink"/>
                              <w:rFonts w:ascii="Arial" w:hAnsi="Arial" w:cs="Arial"/>
                              <w:sz w:val="15"/>
                              <w:szCs w:val="15"/>
                            </w:rPr>
                            <w:t>0155</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Procurement of Professional Architectural, Engineering, Landscape Architectural, or Surveying and Mapping Services; Revising the definition of "continuing contract" and defining "best value selection"; clarifying provisions with respect to selection of firms by an agency under the competitive selection process; providing that an agency has the right to reject any or all submissions received in response to a public announcement under the competitive selection process; authorizing an agency to award contracts to multiple firms under the competitive negotiation process; providing for a best value selection process; requiring agencies to adopt rules governing the use of the process; providing minimum requirements with respect to best value selection procedures, etc.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09/14/11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3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09/21/11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Referred to Regulated Industries; Governmental Oversight and Accountability; Budget</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42" w:history="1">
                          <w:r w:rsidR="001D25D1">
                            <w:rPr>
                              <w:rStyle w:val="Hyperlink"/>
                              <w:rFonts w:ascii="Arial" w:hAnsi="Arial" w:cs="Arial"/>
                              <w:sz w:val="20"/>
                              <w:szCs w:val="20"/>
                            </w:rPr>
                            <w:t>HB 0307</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Workers' Compensation Certificate-of-exemption Process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43" w:history="1">
                          <w:r w:rsidR="001D25D1">
                            <w:rPr>
                              <w:rStyle w:val="Hyperlink"/>
                              <w:rFonts w:ascii="Arial" w:hAnsi="Arial" w:cs="Arial"/>
                              <w:sz w:val="20"/>
                              <w:szCs w:val="20"/>
                            </w:rPr>
                            <w:t>Bernard</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11/09/11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44" w:history="1">
                          <w:r>
                            <w:rPr>
                              <w:rStyle w:val="Hyperlink"/>
                              <w:rFonts w:ascii="Arial" w:hAnsi="Arial" w:cs="Arial"/>
                              <w:sz w:val="15"/>
                              <w:szCs w:val="15"/>
                            </w:rPr>
                            <w:t>0676</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Workers' Compensation Certificate-of-exemption Process: Redefines term "employee" for purposes of workers' compensation; revises requirements relating to election of exemption from coverage to include applicability to members of limited liability companies; revises requirements for submitting notice of election of exemption; revises duties of DFS relating to expiration of certificates of exemption; expands applicability of requirements relating to certificates of exemption. Effective Date: upon becoming a law</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10/07/11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365"/>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Referred to Insurance &amp; Banking Subcommittee; Government Operations Appropriations Subcommittee; Economic Affairs 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460"/>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Now in Insurance &amp; Banking Subcommittee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379"/>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11/09/11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On Committee agenda - Insurance &amp; Banking Subcommittee, 11/16/11, 8:00 am, 404 H</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45" w:history="1">
                          <w:r w:rsidR="001D25D1">
                            <w:rPr>
                              <w:rStyle w:val="Hyperlink"/>
                              <w:rFonts w:ascii="Arial" w:hAnsi="Arial" w:cs="Arial"/>
                              <w:sz w:val="20"/>
                              <w:szCs w:val="20"/>
                            </w:rPr>
                            <w:t>HB 0317</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Education</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46" w:history="1">
                          <w:r w:rsidR="001D25D1">
                            <w:rPr>
                              <w:rStyle w:val="Hyperlink"/>
                              <w:rFonts w:ascii="Arial" w:hAnsi="Arial" w:cs="Arial"/>
                              <w:sz w:val="20"/>
                              <w:szCs w:val="20"/>
                            </w:rPr>
                            <w:t>Van Zant</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10/28/11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47" w:history="1">
                          <w:r>
                            <w:rPr>
                              <w:rStyle w:val="Hyperlink"/>
                              <w:rFonts w:ascii="Arial" w:hAnsi="Arial" w:cs="Arial"/>
                              <w:sz w:val="15"/>
                              <w:szCs w:val="15"/>
                            </w:rPr>
                            <w:t>0098</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Education: Authorizes district school boards to adopt resolutions that allow prayers of invocation or benediction at secondary school events.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10/10/11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228"/>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Referred to K-20 Competitiveness Subcommittee; Civil Justice Subcommittee; Education 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544"/>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Now in K-20 Competitiveness Subcommittee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48" w:history="1">
                          <w:r w:rsidR="001D25D1">
                            <w:rPr>
                              <w:rStyle w:val="Hyperlink"/>
                              <w:rFonts w:ascii="Arial" w:hAnsi="Arial" w:cs="Arial"/>
                              <w:sz w:val="20"/>
                              <w:szCs w:val="20"/>
                            </w:rPr>
                            <w:t>HB 0337</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Public-Private Partnerships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49" w:history="1">
                          <w:r w:rsidR="001D25D1">
                            <w:rPr>
                              <w:rStyle w:val="Hyperlink"/>
                              <w:rFonts w:ascii="Arial" w:hAnsi="Arial" w:cs="Arial"/>
                              <w:sz w:val="20"/>
                              <w:szCs w:val="20"/>
                            </w:rPr>
                            <w:t>Williams (T)</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10/28/11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50" w:history="1">
                          <w:r>
                            <w:rPr>
                              <w:rStyle w:val="Hyperlink"/>
                              <w:rFonts w:ascii="Arial" w:hAnsi="Arial" w:cs="Arial"/>
                              <w:sz w:val="15"/>
                              <w:szCs w:val="15"/>
                            </w:rPr>
                            <w:t>0576</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Public-Private Partnerships: Establishes Florida Public-Private Partnership Act; provides for private entities to develop &amp; operate public-purpose projects; provides for procurement, consideration, &amp; approval of projects; provides exemption from Consultant's Competitive Negotiation Act &amp; any DMS interpretations, regulations, or guidelines; provides for affected local governments to comment on proposed projects; requires public entities to adopt &amp; make publicly available specified guidelines for public-private agreements; provides for agreements between private &amp; public entities; provides for material default &amp; remedies; provides for federal, state, &amp; local financing; provides certain sovereign immunity for public entities; establishes Public-Private Partnership Advisory Commission; requires commission to submit annual reports.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10/11/11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365"/>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Referred to Government Operations Subcommittee; Government Operations Appropriations Subcommittee; State Affairs 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67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Now in Government Operations Subcommittee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51" w:history="1">
                          <w:r w:rsidR="001D25D1">
                            <w:rPr>
                              <w:rStyle w:val="Hyperlink"/>
                              <w:rFonts w:ascii="Arial" w:hAnsi="Arial" w:cs="Arial"/>
                              <w:sz w:val="20"/>
                              <w:szCs w:val="20"/>
                            </w:rPr>
                            <w:t>SB 0340</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Prohibited Discrimination</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52" w:history="1">
                          <w:r w:rsidR="001D25D1">
                            <w:rPr>
                              <w:rStyle w:val="Hyperlink"/>
                              <w:rFonts w:ascii="Arial" w:hAnsi="Arial" w:cs="Arial"/>
                              <w:sz w:val="20"/>
                              <w:szCs w:val="20"/>
                            </w:rPr>
                            <w:t>Rich</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10/18/11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53" w:history="1">
                          <w:r>
                            <w:rPr>
                              <w:rStyle w:val="Hyperlink"/>
                              <w:rFonts w:ascii="Arial" w:hAnsi="Arial" w:cs="Arial"/>
                              <w:sz w:val="15"/>
                              <w:szCs w:val="15"/>
                            </w:rPr>
                            <w:t>0247</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Prohibited Discrimination; Cites this act as the "Competitive Workforce Act;" revising provisions to include sexual orientation and gender identity or expression as impermissible grounds for discrimination; revising provisions to include sexual orientation and gender identity or expression as impermissible grounds for discrimination in public lodging establishments and public food service establishments, etc.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09/23/11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78"/>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Referred to Judiciary; Regulated Industries; Commerce and Tourism</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54" w:history="1">
                          <w:r w:rsidR="001D25D1">
                            <w:rPr>
                              <w:rStyle w:val="Hyperlink"/>
                              <w:rFonts w:ascii="Arial" w:hAnsi="Arial" w:cs="Arial"/>
                              <w:sz w:val="20"/>
                              <w:szCs w:val="20"/>
                            </w:rPr>
                            <w:t>HB 0373</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Environmental Permits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55" w:history="1">
                          <w:r w:rsidR="001D25D1">
                            <w:rPr>
                              <w:rStyle w:val="Hyperlink"/>
                              <w:rFonts w:ascii="Arial" w:hAnsi="Arial" w:cs="Arial"/>
                              <w:sz w:val="20"/>
                              <w:szCs w:val="20"/>
                            </w:rPr>
                            <w:t>Glorioso</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10/28/11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56" w:history="1">
                          <w:r>
                            <w:rPr>
                              <w:rStyle w:val="Hyperlink"/>
                              <w:rFonts w:ascii="Arial" w:hAnsi="Arial" w:cs="Arial"/>
                              <w:sz w:val="15"/>
                              <w:szCs w:val="15"/>
                            </w:rPr>
                            <w:t>0503</w:t>
                          </w:r>
                        </w:hyperlink>
                        <w:r>
                          <w:rPr>
                            <w:rFonts w:ascii="Arial" w:hAnsi="Arial" w:cs="Arial"/>
                            <w:sz w:val="15"/>
                            <w:szCs w:val="15"/>
                          </w:rPr>
                          <w:t xml:space="preserve"> </w:t>
                        </w:r>
                        <w:hyperlink r:id="rId57" w:history="1">
                          <w:r>
                            <w:rPr>
                              <w:rStyle w:val="Hyperlink"/>
                              <w:rFonts w:ascii="Arial" w:hAnsi="Arial" w:cs="Arial"/>
                              <w:sz w:val="15"/>
                              <w:szCs w:val="15"/>
                            </w:rPr>
                            <w:t>0716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58" w:history="1">
                          <w:r>
                            <w:rPr>
                              <w:rStyle w:val="Hyperlink"/>
                              <w:rFonts w:ascii="Arial" w:hAnsi="Arial" w:cs="Arial"/>
                              <w:sz w:val="15"/>
                              <w:szCs w:val="15"/>
                            </w:rPr>
                            <w:t>0602</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Environmental Permits: Provides for entity created by special act, local ordinance, or interlocal agreement of county or municipality to receive certain reduced or waived permit processing fees for projects that serve public purpose; requires DEP to initiate rulemaking to adopt general permits for stormwater management systems serving airport activities; authorizes municipalities &amp; counties to adopt stormwater management plans &amp; obtain conceptual permits for urban redevelopment projects; requires DEP &amp; water management districts to establish conceptual permits for urban redevelopment projects; provides that certain urban redevelopment projects qualify for general permit.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10/14/11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78"/>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Referred to Agriculture &amp; Natural Resources Subcommittee; State Affairs 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19"/>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Now in Agriculture &amp; Natural Resources Subcommittee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59" w:history="1">
                          <w:r w:rsidR="001D25D1">
                            <w:rPr>
                              <w:rStyle w:val="Hyperlink"/>
                              <w:rFonts w:ascii="Arial" w:hAnsi="Arial" w:cs="Arial"/>
                              <w:sz w:val="20"/>
                              <w:szCs w:val="20"/>
                            </w:rPr>
                            <w:t>HB 0383</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Public School Flexibility</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60" w:history="1">
                          <w:r w:rsidR="001D25D1">
                            <w:rPr>
                              <w:rStyle w:val="Hyperlink"/>
                              <w:rFonts w:ascii="Arial" w:hAnsi="Arial" w:cs="Arial"/>
                              <w:sz w:val="20"/>
                              <w:szCs w:val="20"/>
                            </w:rPr>
                            <w:t>Baxley</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10/28/11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61" w:history="1">
                          <w:r>
                            <w:rPr>
                              <w:rStyle w:val="Hyperlink"/>
                              <w:rFonts w:ascii="Arial" w:hAnsi="Arial" w:cs="Arial"/>
                              <w:sz w:val="15"/>
                              <w:szCs w:val="15"/>
                            </w:rPr>
                            <w:t>4057</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Public School Flexibility: Prohibits State Board of Education from adopting rules that require redirection of certain funding; deletes requirement relating to opening date for schools; provides that calculation for compliance with class size maximums for certain public schools of choice shall be average at school level; revises requirements relating to physical education for elementary school students; revises provisions relating to transfer of categorical funds to maintain specified academic classroom instruction; revises provisions relating to student station &amp; auxiliary facility space allocations; provides that school district is not required to comply with State Uniform Building Code for Public Educational Facilities Construction.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365"/>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Referred to K-20 Competitiveness Subcommittee; PreK-12 Appropriations Subcommittee; Education 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544"/>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Now in K-20 Competitiveness Subcommittee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62" w:history="1">
                          <w:r w:rsidR="001D25D1">
                            <w:rPr>
                              <w:rStyle w:val="Hyperlink"/>
                              <w:rFonts w:ascii="Arial" w:hAnsi="Arial" w:cs="Arial"/>
                              <w:sz w:val="20"/>
                              <w:szCs w:val="20"/>
                            </w:rPr>
                            <w:t>HB 0387</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Electronic Filing of Construction Plans and Other Related Documents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63" w:history="1">
                          <w:r w:rsidR="001D25D1">
                            <w:rPr>
                              <w:rStyle w:val="Hyperlink"/>
                              <w:rFonts w:ascii="Arial" w:hAnsi="Arial" w:cs="Arial"/>
                              <w:sz w:val="20"/>
                              <w:szCs w:val="20"/>
                            </w:rPr>
                            <w:t>Ahern</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11/09/11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64" w:history="1">
                          <w:r>
                            <w:rPr>
                              <w:rStyle w:val="Hyperlink"/>
                              <w:rFonts w:ascii="Arial" w:hAnsi="Arial" w:cs="Arial"/>
                              <w:sz w:val="15"/>
                              <w:szCs w:val="15"/>
                            </w:rPr>
                            <w:t>0704</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65" w:history="1">
                          <w:r>
                            <w:rPr>
                              <w:rStyle w:val="Hyperlink"/>
                              <w:rFonts w:ascii="Arial" w:hAnsi="Arial" w:cs="Arial"/>
                              <w:sz w:val="15"/>
                              <w:szCs w:val="15"/>
                            </w:rPr>
                            <w:t>0600</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Electronic Filing of Construction Plans and Other Related Documents: Provides for electronic filing of construction plans &amp; other related documents.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2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Referred to Community &amp; Military Affairs Subcommittee; Economic Affairs 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960"/>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Now in Community &amp; Military Affairs Subcommittee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870"/>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11/09/11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On Committee agenda - Community &amp; Military Affairs Subcommittee, 11/16/11, 1:30 pm, 212 K</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66" w:history="1">
                          <w:r w:rsidR="001D25D1">
                            <w:rPr>
                              <w:rStyle w:val="Hyperlink"/>
                              <w:rFonts w:ascii="Arial" w:hAnsi="Arial" w:cs="Arial"/>
                              <w:sz w:val="20"/>
                              <w:szCs w:val="20"/>
                            </w:rPr>
                            <w:t>HB 0403</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Assessment on the Sale of Masonry Units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67" w:history="1">
                          <w:r w:rsidR="001D25D1">
                            <w:rPr>
                              <w:rStyle w:val="Hyperlink"/>
                              <w:rFonts w:ascii="Arial" w:hAnsi="Arial" w:cs="Arial"/>
                              <w:sz w:val="20"/>
                              <w:szCs w:val="20"/>
                            </w:rPr>
                            <w:t>Caldwell</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10/28/11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68" w:history="1">
                          <w:r>
                            <w:rPr>
                              <w:rStyle w:val="Hyperlink"/>
                              <w:rFonts w:ascii="Arial" w:hAnsi="Arial" w:cs="Arial"/>
                              <w:sz w:val="15"/>
                              <w:szCs w:val="15"/>
                            </w:rPr>
                            <w:t>0412</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Assessment on the Sale of Masonry Units: Creates "Concrete Masonry Products Research, Education, &amp; Promotion Act"; creates Florida Concrete Masonry Council, Inc., as nonprofit corporation; authorizes council to levy assessment on sale of masonry units by manufacturer; prohibits council from participating or intervening in political campaign; prohibits council from using receipt to benefit its directors, officers, or other private persons; requires that manufacturer of concrete masonry products collect assessment from purchaser at time of sale of concrete masonry unit; authorizes council to initiate legal action against manufacturer that fails to remit assessment; provides procedure for manufacturers to petition for referendum to continue assessment; requires council to adopt bylaws.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365"/>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Referred to Business &amp; Consumer Affairs Subcommittee; Government Operations Subcommittee; Finance &amp; Tax Committee; Economic Affairs 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Now in Business &amp; Consumer Affairs Subcommittee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69" w:history="1">
                          <w:r w:rsidR="001D25D1">
                            <w:rPr>
                              <w:rStyle w:val="Hyperlink"/>
                              <w:rFonts w:ascii="Arial" w:hAnsi="Arial" w:cs="Arial"/>
                              <w:sz w:val="20"/>
                              <w:szCs w:val="20"/>
                            </w:rPr>
                            <w:t>HB 0503</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Environmental Regulation</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70" w:history="1">
                          <w:r w:rsidR="001D25D1">
                            <w:rPr>
                              <w:rStyle w:val="Hyperlink"/>
                              <w:rFonts w:ascii="Arial" w:hAnsi="Arial" w:cs="Arial"/>
                              <w:sz w:val="20"/>
                              <w:szCs w:val="20"/>
                            </w:rPr>
                            <w:t>Patronis</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11/04/11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71" w:history="1">
                          <w:r>
                            <w:rPr>
                              <w:rStyle w:val="Hyperlink"/>
                              <w:rFonts w:ascii="Arial" w:hAnsi="Arial" w:cs="Arial"/>
                              <w:sz w:val="15"/>
                              <w:szCs w:val="15"/>
                            </w:rPr>
                            <w:t>0373</w:t>
                          </w:r>
                        </w:hyperlink>
                        <w:r>
                          <w:rPr>
                            <w:rFonts w:ascii="Arial" w:hAnsi="Arial" w:cs="Arial"/>
                            <w:sz w:val="15"/>
                            <w:szCs w:val="15"/>
                          </w:rPr>
                          <w:t xml:space="preserve"> </w:t>
                        </w:r>
                        <w:hyperlink r:id="rId72" w:history="1">
                          <w:r>
                            <w:rPr>
                              <w:rStyle w:val="Hyperlink"/>
                              <w:rFonts w:ascii="Arial" w:hAnsi="Arial" w:cs="Arial"/>
                              <w:sz w:val="15"/>
                              <w:szCs w:val="15"/>
                            </w:rPr>
                            <w:t>0602</w:t>
                          </w:r>
                        </w:hyperlink>
                        <w:r>
                          <w:rPr>
                            <w:rFonts w:ascii="Arial" w:hAnsi="Arial" w:cs="Arial"/>
                            <w:sz w:val="15"/>
                            <w:szCs w:val="15"/>
                          </w:rPr>
                          <w:t xml:space="preserve"> </w:t>
                        </w:r>
                        <w:hyperlink r:id="rId73" w:history="1">
                          <w:r>
                            <w:rPr>
                              <w:rStyle w:val="Hyperlink"/>
                              <w:rFonts w:ascii="Arial" w:hAnsi="Arial" w:cs="Arial"/>
                              <w:sz w:val="15"/>
                              <w:szCs w:val="15"/>
                            </w:rPr>
                            <w:t>0738</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74" w:history="1">
                          <w:r>
                            <w:rPr>
                              <w:rStyle w:val="Hyperlink"/>
                              <w:rFonts w:ascii="Arial" w:hAnsi="Arial" w:cs="Arial"/>
                              <w:sz w:val="15"/>
                              <w:szCs w:val="15"/>
                            </w:rPr>
                            <w:t>0716</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Environmental Regulation: Creates, amends, &amp; revises numerous provisions relating to: development, construction, operating, &amp; building permits; permit application requirements &amp; procedures, including waivers, variances, &amp; revocation; local government comprehensive plans &amp; plan amendments; programmatic general permits &amp; regional general permits; permits for projects relating to surface water management systems, coastal construction, dredge &amp; fill activities, inland multimodal facilities &amp; commercial &amp; industrial development, &amp; mining activities; applicability of onsite sewage treatment &amp; disposal system evaluation &amp; assessment program; sanitary program surveys of certain water systems; uniform mitigation assessment method for activities in surface waters &amp; wetlands &amp; reassessment of mitigation banks; innocent victim petroleum storage system restoration, ambient air quality &amp; water quality standards, &amp; solid waste disposal; sale of unblended fuels for certain uses; deadlines for completion of certain fuel tank upgrades.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10/27/11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365"/>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11/04/11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Referred to Agriculture &amp; Natural Resources Subcommittee; Rulemaking &amp; Regulation Subcommittee; Agriculture &amp; Natural Resources Appropriations Subcommittee; State Affairs 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219"/>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11/04/11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Now in Agriculture &amp; Natural Resources Subcommittee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75" w:history="1">
                          <w:r w:rsidR="001D25D1">
                            <w:rPr>
                              <w:rStyle w:val="Hyperlink"/>
                              <w:rFonts w:ascii="Arial" w:hAnsi="Arial" w:cs="Arial"/>
                              <w:sz w:val="20"/>
                              <w:szCs w:val="20"/>
                            </w:rPr>
                            <w:t>HB 0517</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Reducing and Streamlining Regulations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76" w:history="1">
                          <w:r w:rsidR="001D25D1">
                            <w:rPr>
                              <w:rStyle w:val="Hyperlink"/>
                              <w:rFonts w:ascii="Arial" w:hAnsi="Arial" w:cs="Arial"/>
                              <w:sz w:val="20"/>
                              <w:szCs w:val="20"/>
                            </w:rPr>
                            <w:t>Grant</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11/04/11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77" w:history="1">
                          <w:r>
                            <w:rPr>
                              <w:rStyle w:val="Hyperlink"/>
                              <w:rFonts w:ascii="Arial" w:hAnsi="Arial" w:cs="Arial"/>
                              <w:sz w:val="15"/>
                              <w:szCs w:val="15"/>
                            </w:rPr>
                            <w:t>0762</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Reducing and Streamlining Regulations: Revises continuing education requirements for reactivating license, certificate, or registration to practice certain professions &amp; occupations regulated by DBPR or board or council within department, including community association management, home inspection, mold-related services, real estate appraisal, cosmetology, architecture &amp; interior design, landscape architecture, construction contracting, &amp; electrical &amp; alarm system contracting; revises registration requirements for appraisal management companies; revises provisions relating to auctioneering, real estate brokering &amp; appraisal, barbering, &amp; cosmetology to revise language with respect to certain penalties &amp; grounds for discipline to which penalties apply; requires Florida Real Estate Appraisal Board to adopt rules establishing professional practice standards; requires certain appraisers to follow specific standards of professional practice in appraisals involving restoration of Lake Apopka Basin.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365"/>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11/04/11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Referred to Business &amp; Consumer Affairs Subcommittee; Rulemaking &amp; Regulation Subcommittee; Economic Affairs 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11/04/11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Now in Business &amp; Consumer Affairs Subcommittee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78" w:history="1">
                          <w:r w:rsidR="001D25D1">
                            <w:rPr>
                              <w:rStyle w:val="Hyperlink"/>
                              <w:rFonts w:ascii="Arial" w:hAnsi="Arial" w:cs="Arial"/>
                              <w:sz w:val="20"/>
                              <w:szCs w:val="20"/>
                            </w:rPr>
                            <w:t>HB 0521</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Regulation of Hoisting Equipment Used in Construction, Demolition, or Excavation Work</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79" w:history="1">
                          <w:r w:rsidR="001D25D1">
                            <w:rPr>
                              <w:rStyle w:val="Hyperlink"/>
                              <w:rFonts w:ascii="Arial" w:hAnsi="Arial" w:cs="Arial"/>
                              <w:sz w:val="20"/>
                              <w:szCs w:val="20"/>
                            </w:rPr>
                            <w:t>Artiles</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11/04/11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Regulation of Hoisting Equipment Used in Construction, Demolition, or Excavation Work: Defines terms "hoisting equipment," "mobile crane," &amp; "tower crane"; requires applicant for building permit to submit certain information to local building official; requires radio communications between certain crane operators; requires certain preparations for hurricane or high-wind event; requires preparedness plan for certain cranes; requires that hoisting equipment be secured in specified manner; provides penalties for violation of act by certain licensed contractors; preempts regulation of hoisting equipment &amp; persons operating equipment to state; provides that act does not apply to regulation of elevators. Effective Date: upon becoming a law</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10/31/11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365"/>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11/04/11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Referred to Business &amp; Consumer Affairs Subcommittee; Community &amp; Military Affairs Subcommittee; Economic Affairs 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11/04/11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Now in Business &amp; Consumer Affairs Subcommittee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80" w:history="1">
                          <w:r w:rsidR="001D25D1">
                            <w:rPr>
                              <w:rStyle w:val="Hyperlink"/>
                              <w:rFonts w:ascii="Arial" w:hAnsi="Arial" w:cs="Arial"/>
                              <w:sz w:val="20"/>
                              <w:szCs w:val="20"/>
                            </w:rPr>
                            <w:t>HB 0537</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Mobile Home Parks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81" w:history="1">
                          <w:r w:rsidR="001D25D1">
                            <w:rPr>
                              <w:rStyle w:val="Hyperlink"/>
                              <w:rFonts w:ascii="Arial" w:hAnsi="Arial" w:cs="Arial"/>
                              <w:sz w:val="20"/>
                              <w:szCs w:val="20"/>
                            </w:rPr>
                            <w:t xml:space="preserve">Roberson </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11/01/11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82" w:history="1">
                          <w:r>
                            <w:rPr>
                              <w:rStyle w:val="Hyperlink"/>
                              <w:rFonts w:ascii="Arial" w:hAnsi="Arial" w:cs="Arial"/>
                              <w:sz w:val="15"/>
                              <w:szCs w:val="15"/>
                            </w:rPr>
                            <w:t>0574</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83" w:history="1">
                          <w:r>
                            <w:rPr>
                              <w:rStyle w:val="Hyperlink"/>
                              <w:rFonts w:ascii="Arial" w:hAnsi="Arial" w:cs="Arial"/>
                              <w:sz w:val="15"/>
                              <w:szCs w:val="15"/>
                            </w:rPr>
                            <w:t>0822</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Mobile Home Parks: Provides preconditions for amendment of prospectus or offering circular; provides additional disclosure requirements prior to rental of mobile home lot; requires Division of Florida Condominiums, Timeshares, &amp; Mobile Homes to create mobile home disclosure document for certain purposes; provides intent &amp; purpose of disclosure; provides additional required prospectus or offering circular information relating to change of land use; provides notice requirements for reduction in services, utilities, or amenities by park owner; provides what constitutes market area or competitive area for comparable mobile home parks; increases fees for mobile home park owner applications for payment of moving expenses; revises payment amounts mobile home owners are entitled from Florida Mobile Home Relocation Corporation under certain conditions involving change in land use; deletes provision authorizing homeowners of certain concrete block homes to be part of homeowners' association &amp; to serve on board of directors of association under certain circumstances.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11/01/11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84" w:history="1">
                          <w:r w:rsidR="001D25D1">
                            <w:rPr>
                              <w:rStyle w:val="Hyperlink"/>
                              <w:rFonts w:ascii="Arial" w:hAnsi="Arial" w:cs="Arial"/>
                              <w:sz w:val="20"/>
                              <w:szCs w:val="20"/>
                            </w:rPr>
                            <w:t>SB 0538</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Preference to Florida Businesses in Procurement of Personal Property and Services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85" w:history="1">
                          <w:r w:rsidR="001D25D1">
                            <w:rPr>
                              <w:rStyle w:val="Hyperlink"/>
                              <w:rFonts w:ascii="Arial" w:hAnsi="Arial" w:cs="Arial"/>
                              <w:sz w:val="20"/>
                              <w:szCs w:val="20"/>
                            </w:rPr>
                            <w:t>Bogdanoff</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11/02/11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86" w:history="1">
                          <w:r>
                            <w:rPr>
                              <w:rStyle w:val="Hyperlink"/>
                              <w:rFonts w:ascii="Arial" w:hAnsi="Arial" w:cs="Arial"/>
                              <w:sz w:val="15"/>
                              <w:szCs w:val="15"/>
                            </w:rPr>
                            <w:t>0153</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Preference to Florida Businesses in Procurement of Personal Property and Services; Cites act as the "Buy Florida Act"; requiring an agency, county, municipality, school district, or other political subdivision of the state to grant a specified preference to a vendor located within the state when awarding a contract for printing; specifying the percentage of preference to be granted; requiring, rather than authorizing, an agency, county, municipality, school district, or other political subdivision of the state in making purchases of personal property through competitive solicitation to award a preference to the lowest responsible and responsive vendor having a principal place of business within this state under specified circumstances; specifying the percentage of preference to be granted; providing nonapplicability, etc.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10/13/11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8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11/02/11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Referred to Community Affairs; Governmental Oversight and Accountability; Budget</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87" w:history="1">
                          <w:r w:rsidR="001D25D1">
                            <w:rPr>
                              <w:rStyle w:val="Hyperlink"/>
                              <w:rFonts w:ascii="Arial" w:hAnsi="Arial" w:cs="Arial"/>
                              <w:sz w:val="20"/>
                              <w:szCs w:val="20"/>
                            </w:rPr>
                            <w:t>SB 0576</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Public-private Partnerships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88" w:history="1">
                          <w:r w:rsidR="001D25D1">
                            <w:rPr>
                              <w:rStyle w:val="Hyperlink"/>
                              <w:rFonts w:ascii="Arial" w:hAnsi="Arial" w:cs="Arial"/>
                              <w:sz w:val="20"/>
                              <w:szCs w:val="20"/>
                            </w:rPr>
                            <w:t>Bennett</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11/02/11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89" w:history="1">
                          <w:r>
                            <w:rPr>
                              <w:rStyle w:val="Hyperlink"/>
                              <w:rFonts w:ascii="Arial" w:hAnsi="Arial" w:cs="Arial"/>
                              <w:sz w:val="15"/>
                              <w:szCs w:val="15"/>
                            </w:rPr>
                            <w:t>0337</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Public-private Partnerships; Establishing the Florida Public-Private Partnership Act; providing for private entities to develop and operate public-purpose projects; requiring public entities to adopt and make publicly available specified guidelines for public-private agreements; providing an exemption from the Consultant's Competitive Negotiation Act and any interpretations, regulations, or guidelines of the Department of Management Services; providing requirements and procedures for interim and comprehensive agreements between private and public entities; providing for material default and remedies with respect to projects and agreements; establishing the Public-Private Partnership Advisory Commission, etc.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18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11/02/11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Referred to Governmental Oversight and Accountability; Community Affairs; Budget</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90" w:history="1">
                          <w:r w:rsidR="001D25D1">
                            <w:rPr>
                              <w:rStyle w:val="Hyperlink"/>
                              <w:rFonts w:ascii="Arial" w:hAnsi="Arial" w:cs="Arial"/>
                              <w:sz w:val="20"/>
                              <w:szCs w:val="20"/>
                            </w:rPr>
                            <w:t>SB 0600</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Electronic Filing of Construction Plans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91" w:history="1">
                          <w:r w:rsidR="001D25D1">
                            <w:rPr>
                              <w:rStyle w:val="Hyperlink"/>
                              <w:rFonts w:ascii="Arial" w:hAnsi="Arial" w:cs="Arial"/>
                              <w:sz w:val="20"/>
                              <w:szCs w:val="20"/>
                            </w:rPr>
                            <w:t>Bennett</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11/02/11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92" w:history="1">
                          <w:r>
                            <w:rPr>
                              <w:rStyle w:val="Hyperlink"/>
                              <w:rFonts w:ascii="Arial" w:hAnsi="Arial" w:cs="Arial"/>
                              <w:sz w:val="15"/>
                              <w:szCs w:val="15"/>
                            </w:rPr>
                            <w:t>0704</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93" w:history="1">
                          <w:r>
                            <w:rPr>
                              <w:rStyle w:val="Hyperlink"/>
                              <w:rFonts w:ascii="Arial" w:hAnsi="Arial" w:cs="Arial"/>
                              <w:sz w:val="15"/>
                              <w:szCs w:val="15"/>
                            </w:rPr>
                            <w:t>0387</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Electronic Filing of Construction Plans; Providing for certain documents to be electronically signed and sealed by the licensee and electronically transmitted to a building code administrator or building official for approval, etc.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10/19/11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119"/>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11/02/11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Referred to Community Affairs; Regulated Industries</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94" w:history="1">
                          <w:r w:rsidR="001D25D1">
                            <w:rPr>
                              <w:rStyle w:val="Hyperlink"/>
                              <w:rFonts w:ascii="Arial" w:hAnsi="Arial" w:cs="Arial"/>
                              <w:sz w:val="20"/>
                              <w:szCs w:val="20"/>
                            </w:rPr>
                            <w:t>SB 0602</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Environmental Permits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95" w:history="1">
                          <w:r w:rsidR="001D25D1">
                            <w:rPr>
                              <w:rStyle w:val="Hyperlink"/>
                              <w:rFonts w:ascii="Arial" w:hAnsi="Arial" w:cs="Arial"/>
                              <w:sz w:val="20"/>
                              <w:szCs w:val="20"/>
                            </w:rPr>
                            <w:t>Storms</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11/02/11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96" w:history="1">
                          <w:r>
                            <w:rPr>
                              <w:rStyle w:val="Hyperlink"/>
                              <w:rFonts w:ascii="Arial" w:hAnsi="Arial" w:cs="Arial"/>
                              <w:sz w:val="15"/>
                              <w:szCs w:val="15"/>
                            </w:rPr>
                            <w:t>0503</w:t>
                          </w:r>
                        </w:hyperlink>
                        <w:r>
                          <w:rPr>
                            <w:rFonts w:ascii="Arial" w:hAnsi="Arial" w:cs="Arial"/>
                            <w:sz w:val="15"/>
                            <w:szCs w:val="15"/>
                          </w:rPr>
                          <w:t xml:space="preserve"> </w:t>
                        </w:r>
                        <w:hyperlink r:id="rId97" w:history="1">
                          <w:r>
                            <w:rPr>
                              <w:rStyle w:val="Hyperlink"/>
                              <w:rFonts w:ascii="Arial" w:hAnsi="Arial" w:cs="Arial"/>
                              <w:sz w:val="15"/>
                              <w:szCs w:val="15"/>
                            </w:rPr>
                            <w:t>0716</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I:</w:t>
                        </w:r>
                        <w:r>
                          <w:rPr>
                            <w:rFonts w:ascii="Arial" w:hAnsi="Arial" w:cs="Arial"/>
                            <w:sz w:val="15"/>
                            <w:szCs w:val="15"/>
                          </w:rPr>
                          <w:t xml:space="preserve"> </w:t>
                        </w:r>
                        <w:hyperlink r:id="rId98" w:history="1">
                          <w:r>
                            <w:rPr>
                              <w:rStyle w:val="Hyperlink"/>
                              <w:rFonts w:ascii="Arial" w:hAnsi="Arial" w:cs="Arial"/>
                              <w:sz w:val="15"/>
                              <w:szCs w:val="15"/>
                            </w:rPr>
                            <w:t>0373</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Environmental Permits; Providing for an entity created by special act, local ordinance, or interlocal agreement of a county or municipality to receive certain reduced or waived permit processing fees; requiring that the project for which such fee reduction or waiver is sought serves a public purpose; requiring that the Department of Environmental Protection initiate rulemaking to adopt a general permit for stormwater management systems serving airside activities at airports; providing for any water management district or delegated local government to administer the general permit; authorizing certain municipalities and counties to adopt stormwater management plans and obtain conceptual permits for urban redevelopment projects; requiring the Department of Environmental Protection and water management districts to establish conceptual permits for urban redevelopment projects; providing that certain urban redevelopment projects qualify for a general permit, etc.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10/19/11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7365"/>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11/02/11 </w:t>
                              </w:r>
                            </w:p>
                          </w:tc>
                          <w:tc>
                            <w:tcPr>
                              <w:tcW w:w="0" w:type="auto"/>
                              <w:vAlign w:val="center"/>
                              <w:hideMark/>
                            </w:tcPr>
                            <w:p w:rsidR="001D25D1" w:rsidRDefault="001D25D1" w:rsidP="00CB18D5">
                              <w:pPr>
                                <w:rPr>
                                  <w:rFonts w:ascii="Arial" w:hAnsi="Arial" w:cs="Arial"/>
                                  <w:sz w:val="15"/>
                                  <w:szCs w:val="15"/>
                                </w:rPr>
                              </w:pPr>
                              <w:r>
                                <w:rPr>
                                  <w:rFonts w:ascii="Arial" w:hAnsi="Arial" w:cs="Arial"/>
                                  <w:sz w:val="15"/>
                                  <w:szCs w:val="15"/>
                                </w:rPr>
                                <w:t>SENATE Referred to Environmental Preservation and Conservation; Community Affairs; Transportation; Budget</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99" w:history="1">
                          <w:r w:rsidR="001D25D1">
                            <w:rPr>
                              <w:rStyle w:val="Hyperlink"/>
                              <w:rFonts w:ascii="Arial" w:hAnsi="Arial" w:cs="Arial"/>
                              <w:sz w:val="20"/>
                              <w:szCs w:val="20"/>
                            </w:rPr>
                            <w:t>SB 0640</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Local Government Energy Zones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00" w:history="1">
                          <w:r w:rsidR="001D25D1">
                            <w:rPr>
                              <w:rStyle w:val="Hyperlink"/>
                              <w:rFonts w:ascii="Arial" w:hAnsi="Arial" w:cs="Arial"/>
                              <w:sz w:val="20"/>
                              <w:szCs w:val="20"/>
                            </w:rPr>
                            <w:t>Bennett</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10/21/11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Local Government Energy Zones; Authorizing a local government to create an energy zone by ordinance; allowing a producer of renewable energy to produce and sell energy within the boundaries of the energy zone; requiring that the producer or new customer of renewable energy be offered an interruptible rate from the utility; authorizing retail sales by any producer of renewable energy within an energy zone; requiring the Public Service Commission to adopt rules to govern sales by producers of renewable energy within the local government energy zone; redefining the term "public utility" to exempt producers and sellers of renewable energy from economic regulation by the Public Service Commission, etc.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10/21/11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01" w:history="1">
                          <w:r w:rsidR="001D25D1">
                            <w:rPr>
                              <w:rStyle w:val="Hyperlink"/>
                              <w:rFonts w:ascii="Arial" w:hAnsi="Arial" w:cs="Arial"/>
                              <w:sz w:val="20"/>
                              <w:szCs w:val="20"/>
                            </w:rPr>
                            <w:t>SB 0668</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Workers' Compensation Medical Services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02" w:history="1">
                          <w:r w:rsidR="001D25D1">
                            <w:rPr>
                              <w:rStyle w:val="Hyperlink"/>
                              <w:rFonts w:ascii="Arial" w:hAnsi="Arial" w:cs="Arial"/>
                              <w:sz w:val="20"/>
                              <w:szCs w:val="20"/>
                            </w:rPr>
                            <w:t>Hays</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10/25/11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03" w:history="1">
                          <w:r>
                            <w:rPr>
                              <w:rStyle w:val="Hyperlink"/>
                              <w:rFonts w:ascii="Arial" w:hAnsi="Arial" w:cs="Arial"/>
                              <w:sz w:val="15"/>
                              <w:szCs w:val="15"/>
                            </w:rPr>
                            <w:t>0511</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Workers' Compensation Medical Services; Revising requirements for determining the amount of a reimbursement for repackaged or relabeled prescription medication; providing limitations, etc.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10/25/11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04" w:history="1">
                          <w:r w:rsidR="001D25D1">
                            <w:rPr>
                              <w:rStyle w:val="Hyperlink"/>
                              <w:rFonts w:ascii="Arial" w:hAnsi="Arial" w:cs="Arial"/>
                              <w:sz w:val="20"/>
                              <w:szCs w:val="20"/>
                            </w:rPr>
                            <w:t>SB 0676</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Workers' Compensation Certificate-of-exemption Process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05" w:history="1">
                          <w:r w:rsidR="001D25D1">
                            <w:rPr>
                              <w:rStyle w:val="Hyperlink"/>
                              <w:rFonts w:ascii="Arial" w:hAnsi="Arial" w:cs="Arial"/>
                              <w:sz w:val="20"/>
                              <w:szCs w:val="20"/>
                            </w:rPr>
                            <w:t>Smith (C)</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10/25/11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06" w:history="1">
                          <w:r>
                            <w:rPr>
                              <w:rStyle w:val="Hyperlink"/>
                              <w:rFonts w:ascii="Arial" w:hAnsi="Arial" w:cs="Arial"/>
                              <w:sz w:val="15"/>
                              <w:szCs w:val="15"/>
                            </w:rPr>
                            <w:t>0307</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Workers' Compensation Certificate-of-exemption Process; Revising requirements relating to election of exemption from coverage to include applicability to members of limited liability companies; revising requirements for submitting a notice of election of exemption; revising duties of the Department of Financial Services relating to the expiration of certificates of exemption; expanding applicability of requirements relating to certificates of exemption, etc. EFFECTIVE DATE: upon becoming a law, except as otherwise provided</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10/25/11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07" w:history="1">
                          <w:r w:rsidR="001D25D1">
                            <w:rPr>
                              <w:rStyle w:val="Hyperlink"/>
                              <w:rFonts w:ascii="Arial" w:hAnsi="Arial" w:cs="Arial"/>
                              <w:sz w:val="20"/>
                              <w:szCs w:val="20"/>
                            </w:rPr>
                            <w:t>SB 0680</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Residential Properties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08" w:history="1">
                          <w:r w:rsidR="001D25D1">
                            <w:rPr>
                              <w:rStyle w:val="Hyperlink"/>
                              <w:rFonts w:ascii="Arial" w:hAnsi="Arial" w:cs="Arial"/>
                              <w:sz w:val="20"/>
                              <w:szCs w:val="20"/>
                            </w:rPr>
                            <w:t>Bogdanoff</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10/25/11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I:</w:t>
                        </w:r>
                        <w:r>
                          <w:rPr>
                            <w:rFonts w:ascii="Arial" w:hAnsi="Arial" w:cs="Arial"/>
                            <w:sz w:val="15"/>
                            <w:szCs w:val="15"/>
                          </w:rPr>
                          <w:t xml:space="preserve"> </w:t>
                        </w:r>
                        <w:hyperlink r:id="rId109" w:history="1">
                          <w:r>
                            <w:rPr>
                              <w:rStyle w:val="Hyperlink"/>
                              <w:rFonts w:ascii="Arial" w:hAnsi="Arial" w:cs="Arial"/>
                              <w:sz w:val="15"/>
                              <w:szCs w:val="15"/>
                            </w:rPr>
                            <w:t>0319</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Residential Properties; Exempting certain elevators from specific code update requirements; providing requirements for condominiums created within condominium parcels; providing for the establishment of primary condominium and secondary condominium units; revising provisions relating to the amendment of cooperative documents; providing criteria for consent or joinder to an amendment; requiring challenges to an election to commence within a certain time period; specifying certification or educational requirements for a newly elected or appointed cooperative board director; providing requirements for challenging the failure of a board to duly notice and hold the required board meeting or to file the required petition for a recall; revising provisions relating to the amendment of homeowners' association declarations, etc.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10/25/11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10" w:history="1">
                          <w:r w:rsidR="001D25D1">
                            <w:rPr>
                              <w:rStyle w:val="Hyperlink"/>
                              <w:rFonts w:ascii="Arial" w:hAnsi="Arial" w:cs="Arial"/>
                              <w:sz w:val="20"/>
                              <w:szCs w:val="20"/>
                            </w:rPr>
                            <w:t>SB 0690</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Solar Energy Systems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11" w:history="1">
                          <w:r w:rsidR="001D25D1">
                            <w:rPr>
                              <w:rStyle w:val="Hyperlink"/>
                              <w:rFonts w:ascii="Arial" w:hAnsi="Arial" w:cs="Arial"/>
                              <w:sz w:val="20"/>
                              <w:szCs w:val="20"/>
                            </w:rPr>
                            <w:t>Bennett</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10/26/11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Solar Energy Systems; Removing the requirement that the Florida Solar Energy Center set standards for and approve solar energy systems; requiring that a solar energy system manufactured, sold, or installed in the state meet the safety and performance standards established by Underwriters Laboratories, Inc., etc.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10/26/11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12" w:history="1">
                          <w:r w:rsidR="001D25D1">
                            <w:rPr>
                              <w:rStyle w:val="Hyperlink"/>
                              <w:rFonts w:ascii="Arial" w:hAnsi="Arial" w:cs="Arial"/>
                              <w:sz w:val="20"/>
                              <w:szCs w:val="20"/>
                            </w:rPr>
                            <w:t>SB 0704</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Building Construction and Inspection</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13" w:history="1">
                          <w:r w:rsidR="001D25D1">
                            <w:rPr>
                              <w:rStyle w:val="Hyperlink"/>
                              <w:rFonts w:ascii="Arial" w:hAnsi="Arial" w:cs="Arial"/>
                              <w:sz w:val="20"/>
                              <w:szCs w:val="20"/>
                            </w:rPr>
                            <w:t>Bennett</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10/26/11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14" w:history="1">
                          <w:r>
                            <w:rPr>
                              <w:rStyle w:val="Hyperlink"/>
                              <w:rFonts w:ascii="Arial" w:hAnsi="Arial" w:cs="Arial"/>
                              <w:sz w:val="15"/>
                              <w:szCs w:val="15"/>
                            </w:rPr>
                            <w:t>0387</w:t>
                          </w:r>
                        </w:hyperlink>
                        <w:r>
                          <w:rPr>
                            <w:rFonts w:ascii="Arial" w:hAnsi="Arial" w:cs="Arial"/>
                            <w:sz w:val="15"/>
                            <w:szCs w:val="15"/>
                          </w:rPr>
                          <w:t xml:space="preserve"> </w:t>
                        </w:r>
                        <w:hyperlink r:id="rId115" w:history="1">
                          <w:r>
                            <w:rPr>
                              <w:rStyle w:val="Hyperlink"/>
                              <w:rFonts w:ascii="Arial" w:hAnsi="Arial" w:cs="Arial"/>
                              <w:sz w:val="15"/>
                              <w:szCs w:val="15"/>
                            </w:rPr>
                            <w:t>0600</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Building Construction and Inspection; Revising the authorized methods of sending notices to violators of local codes; amending s. 468.604, F.S.; authorizing a building code administrator or building official to approve the electronic filing of building plans and related documents; amending s. 489.105, F.S.; revising the definition of the term "demolish" for purposes of describing the scope of work of a contractor to include all buildings or residences, rather than buildings or residences of certain heights; amending s. 553.721, F.S.; allocating a portion of the funds derived from a surcharge on permit fees to the Florida Building Code Compliance and Mitigation Program; exempting certain buildings or structures used for hunting from the Florida Building Code, etc.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10/26/11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16" w:history="1">
                          <w:r w:rsidR="001D25D1">
                            <w:rPr>
                              <w:rStyle w:val="Hyperlink"/>
                              <w:rFonts w:ascii="Arial" w:hAnsi="Arial" w:cs="Arial"/>
                              <w:sz w:val="20"/>
                              <w:szCs w:val="20"/>
                            </w:rPr>
                            <w:t>SB 0716</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Environmental Regulation</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17" w:history="1">
                          <w:r w:rsidR="001D25D1">
                            <w:rPr>
                              <w:rStyle w:val="Hyperlink"/>
                              <w:rFonts w:ascii="Arial" w:hAnsi="Arial" w:cs="Arial"/>
                              <w:sz w:val="20"/>
                              <w:szCs w:val="20"/>
                            </w:rPr>
                            <w:t>Bennett</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10/27/11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18" w:history="1">
                          <w:r>
                            <w:rPr>
                              <w:rStyle w:val="Hyperlink"/>
                              <w:rFonts w:ascii="Arial" w:hAnsi="Arial" w:cs="Arial"/>
                              <w:sz w:val="15"/>
                              <w:szCs w:val="15"/>
                            </w:rPr>
                            <w:t>0373</w:t>
                          </w:r>
                        </w:hyperlink>
                        <w:r>
                          <w:rPr>
                            <w:rFonts w:ascii="Arial" w:hAnsi="Arial" w:cs="Arial"/>
                            <w:sz w:val="15"/>
                            <w:szCs w:val="15"/>
                          </w:rPr>
                          <w:t xml:space="preserve"> </w:t>
                        </w:r>
                        <w:hyperlink r:id="rId119" w:history="1">
                          <w:r>
                            <w:rPr>
                              <w:rStyle w:val="Hyperlink"/>
                              <w:rFonts w:ascii="Arial" w:hAnsi="Arial" w:cs="Arial"/>
                              <w:sz w:val="15"/>
                              <w:szCs w:val="15"/>
                            </w:rPr>
                            <w:t>0602</w:t>
                          </w:r>
                        </w:hyperlink>
                        <w:r>
                          <w:rPr>
                            <w:rFonts w:ascii="Arial" w:hAnsi="Arial" w:cs="Arial"/>
                            <w:sz w:val="15"/>
                            <w:szCs w:val="15"/>
                          </w:rPr>
                          <w:t xml:space="preserve"> </w:t>
                        </w:r>
                        <w:hyperlink r:id="rId120" w:history="1">
                          <w:r>
                            <w:rPr>
                              <w:rStyle w:val="Hyperlink"/>
                              <w:rFonts w:ascii="Arial" w:hAnsi="Arial" w:cs="Arial"/>
                              <w:sz w:val="15"/>
                              <w:szCs w:val="15"/>
                            </w:rPr>
                            <w:t>0738</w:t>
                          </w:r>
                        </w:hyperlink>
                        <w:r>
                          <w:rPr>
                            <w:rFonts w:ascii="Arial" w:hAnsi="Arial" w:cs="Arial"/>
                            <w:sz w:val="15"/>
                            <w:szCs w:val="15"/>
                          </w:rPr>
                          <w:t xml:space="preserve"> )</w:t>
                        </w:r>
                        <w:r>
                          <w:rPr>
                            <w:rFonts w:ascii="Arial" w:hAnsi="Arial" w:cs="Arial"/>
                            <w:sz w:val="15"/>
                            <w:szCs w:val="15"/>
                          </w:rPr>
                          <w:br/>
                          <w:t>(</w:t>
                        </w:r>
                        <w:r>
                          <w:rPr>
                            <w:rFonts w:ascii="Arial" w:hAnsi="Arial" w:cs="Arial"/>
                            <w:b/>
                            <w:bCs/>
                            <w:sz w:val="15"/>
                            <w:szCs w:val="15"/>
                          </w:rPr>
                          <w:t>S:</w:t>
                        </w:r>
                        <w:r>
                          <w:rPr>
                            <w:rFonts w:ascii="Arial" w:hAnsi="Arial" w:cs="Arial"/>
                            <w:sz w:val="15"/>
                            <w:szCs w:val="15"/>
                          </w:rPr>
                          <w:t xml:space="preserve"> </w:t>
                        </w:r>
                        <w:hyperlink r:id="rId121" w:history="1">
                          <w:r>
                            <w:rPr>
                              <w:rStyle w:val="Hyperlink"/>
                              <w:rFonts w:ascii="Arial" w:hAnsi="Arial" w:cs="Arial"/>
                              <w:sz w:val="15"/>
                              <w:szCs w:val="15"/>
                            </w:rPr>
                            <w:t>0503</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Environmental Regulation; Prohibiting a county from requiring an applicant to obtain a permit or approval from any state or federal agency as a condition of processing a development permit under certain conditions; requiring that the Department of Environmental Protection review an application for certain permits under the Beach and Shore Preservation Act and request additional information within a specified time; requiring that certain counties or municipalities apply by a specified date to the department or water management district for authority to require certain permits; providing for issuance of general permits for the construction, alteration, and maintenance of certain surface water management systems without the action of the department or a water management district; revising the deadline for completion of the installation of fuel tank upgrades to secondary containment systems for specified properties, etc.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10/27/11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22" w:history="1">
                          <w:r w:rsidR="001D25D1">
                            <w:rPr>
                              <w:rStyle w:val="Hyperlink"/>
                              <w:rFonts w:ascii="Arial" w:hAnsi="Arial" w:cs="Arial"/>
                              <w:sz w:val="20"/>
                              <w:szCs w:val="20"/>
                            </w:rPr>
                            <w:t>SB 0762</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Practice of Professions Regulated by Department of Business and Professional Regulation</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23" w:history="1">
                          <w:r w:rsidR="001D25D1">
                            <w:rPr>
                              <w:rStyle w:val="Hyperlink"/>
                              <w:rFonts w:ascii="Arial" w:hAnsi="Arial" w:cs="Arial"/>
                              <w:sz w:val="20"/>
                              <w:szCs w:val="20"/>
                            </w:rPr>
                            <w:t>Hays</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10/31/11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124" w:history="1">
                          <w:r>
                            <w:rPr>
                              <w:rStyle w:val="Hyperlink"/>
                              <w:rFonts w:ascii="Arial" w:hAnsi="Arial" w:cs="Arial"/>
                              <w:sz w:val="15"/>
                              <w:szCs w:val="15"/>
                            </w:rPr>
                            <w:t>0517</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Practice of Professions Regulated by Department of Business and Professional Regulation; Providing for the use of the standards of professional practice established by the Real Estate Appraisal Board in connection with the purchase of land to restore Lake Apopka; reducing the maximum amount of continuing education that may be required by the Department of Business and Professional Regulation or one of its boards to reactivate certain inactive licenses; exempting certain types of misconduct relating to auction businesses from being penalized as a felony; reducing the maximum amount of continuing education that may be required by the Regulatory Council of Community Association Managers to reactivate an inactive license; deleting a provision prohibiting a person from violating a lawful order or rule of the Real Estate Commission; deleting a provision subjecting a person to criminal penalties for engaging in willful or repeated violations of laws or rules regulating cosmetology, etc.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10/31/11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25" w:history="1">
                          <w:r w:rsidR="001D25D1">
                            <w:rPr>
                              <w:rStyle w:val="Hyperlink"/>
                              <w:rFonts w:ascii="Arial" w:hAnsi="Arial" w:cs="Arial"/>
                              <w:sz w:val="20"/>
                              <w:szCs w:val="20"/>
                            </w:rPr>
                            <w:t>SB 0786</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Growth Enterprise Development</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26" w:history="1">
                          <w:r w:rsidR="001D25D1">
                            <w:rPr>
                              <w:rStyle w:val="Hyperlink"/>
                              <w:rFonts w:ascii="Arial" w:hAnsi="Arial" w:cs="Arial"/>
                              <w:sz w:val="20"/>
                              <w:szCs w:val="20"/>
                            </w:rPr>
                            <w:t>Ring</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11/01/11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S:</w:t>
                        </w:r>
                        <w:r>
                          <w:rPr>
                            <w:rFonts w:ascii="Arial" w:hAnsi="Arial" w:cs="Arial"/>
                            <w:sz w:val="15"/>
                            <w:szCs w:val="15"/>
                          </w:rPr>
                          <w:t xml:space="preserve"> </w:t>
                        </w:r>
                        <w:hyperlink r:id="rId127" w:history="1">
                          <w:r>
                            <w:rPr>
                              <w:rStyle w:val="Hyperlink"/>
                              <w:rFonts w:ascii="Arial" w:hAnsi="Arial" w:cs="Arial"/>
                              <w:sz w:val="15"/>
                              <w:szCs w:val="15"/>
                            </w:rPr>
                            <w:t>0515</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Growth Enterprise Development; Requiring the Department of Economic Opportunity to establish a One-Stop Permitting System in cooperation with certain participating agencies; authorizing local governments to establish growth enterprise development programs that provide for master development approval for the development or expansion of certain sites owned and operated by growth enterprises; providing for the development and distribution of literature explaining the One-Stop Permitting System and identifying local growth enterprise development programs; repealing provisions relating to the One-Stop Permitting System Grant Program and the Quick Permitting County Designation Program of the former State Technology Office, etc.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11/01/11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28" w:history="1">
                          <w:r w:rsidR="001D25D1">
                            <w:rPr>
                              <w:rStyle w:val="Hyperlink"/>
                              <w:rFonts w:ascii="Arial" w:hAnsi="Arial" w:cs="Arial"/>
                              <w:sz w:val="20"/>
                              <w:szCs w:val="20"/>
                            </w:rPr>
                            <w:t>SB 0794</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Public Contracting</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29" w:history="1">
                          <w:r w:rsidR="001D25D1">
                            <w:rPr>
                              <w:rStyle w:val="Hyperlink"/>
                              <w:rFonts w:ascii="Arial" w:hAnsi="Arial" w:cs="Arial"/>
                              <w:sz w:val="20"/>
                              <w:szCs w:val="20"/>
                            </w:rPr>
                            <w:t>Hays</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11/02/11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Public Contracting; Prohibiting a governmental unit that contracts for the construction, repair, remodeling, or improving of a facility from imposing conditions that requires, prohibits, encourages, or discourages certain bidders, contractors, or subcontractors from entering into or adhering to agreements with a collective bargaining organization; prohibiting a governmental unit from granting certain awards as a condition of certain contracts; prohibiting certain terms from being placed in bid specifications, project agreements, or other controlling documents; revising the period during which an agency must file a protest following certain contract solicitations or awards, etc. EFFECTIVE DATE: upon becoming a law</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11/02/11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30" w:history="1">
                          <w:r w:rsidR="001D25D1">
                            <w:rPr>
                              <w:rStyle w:val="Hyperlink"/>
                              <w:rFonts w:ascii="Arial" w:hAnsi="Arial" w:cs="Arial"/>
                              <w:sz w:val="20"/>
                              <w:szCs w:val="20"/>
                            </w:rPr>
                            <w:t>SB 0820</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Onsite Sewage Treatment and Disposal Systems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31" w:history="1">
                          <w:r w:rsidR="001D25D1">
                            <w:rPr>
                              <w:rStyle w:val="Hyperlink"/>
                              <w:rFonts w:ascii="Arial" w:hAnsi="Arial" w:cs="Arial"/>
                              <w:sz w:val="20"/>
                              <w:szCs w:val="20"/>
                            </w:rPr>
                            <w:t>Dean</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11/03/11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r>
                          <w:rPr>
                            <w:rFonts w:ascii="Arial" w:hAnsi="Arial" w:cs="Arial"/>
                            <w:sz w:val="15"/>
                            <w:szCs w:val="15"/>
                          </w:rPr>
                          <w:t>(</w:t>
                        </w:r>
                        <w:r>
                          <w:rPr>
                            <w:rFonts w:ascii="Arial" w:hAnsi="Arial" w:cs="Arial"/>
                            <w:b/>
                            <w:bCs/>
                            <w:sz w:val="15"/>
                            <w:szCs w:val="15"/>
                          </w:rPr>
                          <w:t>C:</w:t>
                        </w:r>
                        <w:r>
                          <w:rPr>
                            <w:rFonts w:ascii="Arial" w:hAnsi="Arial" w:cs="Arial"/>
                            <w:sz w:val="15"/>
                            <w:szCs w:val="15"/>
                          </w:rPr>
                          <w:t xml:space="preserve"> </w:t>
                        </w:r>
                        <w:hyperlink r:id="rId132" w:history="1">
                          <w:r>
                            <w:rPr>
                              <w:rStyle w:val="Hyperlink"/>
                              <w:rFonts w:ascii="Arial" w:hAnsi="Arial" w:cs="Arial"/>
                              <w:sz w:val="15"/>
                              <w:szCs w:val="15"/>
                            </w:rPr>
                            <w:t>0079</w:t>
                          </w:r>
                        </w:hyperlink>
                        <w:r>
                          <w:rPr>
                            <w:rFonts w:ascii="Arial" w:hAnsi="Arial" w:cs="Arial"/>
                            <w:sz w:val="15"/>
                            <w:szCs w:val="15"/>
                          </w:rPr>
                          <w:t xml:space="preserve"> </w:t>
                        </w:r>
                        <w:hyperlink r:id="rId133" w:history="1">
                          <w:r>
                            <w:rPr>
                              <w:rStyle w:val="Hyperlink"/>
                              <w:rFonts w:ascii="Arial" w:hAnsi="Arial" w:cs="Arial"/>
                              <w:sz w:val="15"/>
                              <w:szCs w:val="15"/>
                            </w:rPr>
                            <w:t>0115</w:t>
                          </w:r>
                        </w:hyperlink>
                        <w:r>
                          <w:rPr>
                            <w:rFonts w:ascii="Arial" w:hAnsi="Arial" w:cs="Arial"/>
                            <w:sz w:val="15"/>
                            <w:szCs w:val="15"/>
                          </w:rPr>
                          <w:t xml:space="preserve"> </w:t>
                        </w:r>
                        <w:hyperlink r:id="rId134" w:history="1">
                          <w:r>
                            <w:rPr>
                              <w:rStyle w:val="Hyperlink"/>
                              <w:rFonts w:ascii="Arial" w:hAnsi="Arial" w:cs="Arial"/>
                              <w:sz w:val="15"/>
                              <w:szCs w:val="15"/>
                            </w:rPr>
                            <w:t>0114</w:t>
                          </w:r>
                        </w:hyperlink>
                        <w:r>
                          <w:rPr>
                            <w:rFonts w:ascii="Arial" w:hAnsi="Arial" w:cs="Arial"/>
                            <w:sz w:val="15"/>
                            <w:szCs w:val="15"/>
                          </w:rPr>
                          <w:t xml:space="preserve"> </w:t>
                        </w:r>
                        <w:hyperlink r:id="rId135" w:history="1">
                          <w:r>
                            <w:rPr>
                              <w:rStyle w:val="Hyperlink"/>
                              <w:rFonts w:ascii="Arial" w:hAnsi="Arial" w:cs="Arial"/>
                              <w:sz w:val="15"/>
                              <w:szCs w:val="15"/>
                            </w:rPr>
                            <w:t>0178</w:t>
                          </w:r>
                        </w:hyperlink>
                        <w:r>
                          <w:rPr>
                            <w:rFonts w:ascii="Arial" w:hAnsi="Arial" w:cs="Arial"/>
                            <w:sz w:val="15"/>
                            <w:szCs w:val="15"/>
                          </w:rPr>
                          <w:t xml:space="preserve"> </w:t>
                        </w:r>
                        <w:hyperlink r:id="rId136" w:history="1">
                          <w:r>
                            <w:rPr>
                              <w:rStyle w:val="Hyperlink"/>
                              <w:rFonts w:ascii="Arial" w:hAnsi="Arial" w:cs="Arial"/>
                              <w:sz w:val="15"/>
                              <w:szCs w:val="15"/>
                            </w:rPr>
                            <w:t>0558</w:t>
                          </w:r>
                        </w:hyperlink>
                        <w:r>
                          <w:rPr>
                            <w:rFonts w:ascii="Arial" w:hAnsi="Arial" w:cs="Arial"/>
                            <w:sz w:val="15"/>
                            <w:szCs w:val="15"/>
                          </w:rPr>
                          <w:t xml:space="preserve"> )</w:t>
                        </w: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Onsite Sewage Treatment And Disposal Systems; Providing for any permit issued and approved by the Department of Health for the installation, modification, or repair of an onsite sewage treatment and disposal system to transfer with the title of the property; providing circumstances in which an onsite sewage treatment and disposal system is not considered abandoned; providing for the validity of an onsite sewage treatment and disposal system permit if rules change before final approval of the constructed system; providing that a system modification, replacement, or upgrade is not required unless a bedroom is added to a single-family home; requiring that the department provide certain guidance and technical assistance to a county or municipality upon request, etc.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11/03/11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37" w:history="1">
                          <w:r w:rsidR="001D25D1">
                            <w:rPr>
                              <w:rStyle w:val="Hyperlink"/>
                              <w:rFonts w:ascii="Arial" w:hAnsi="Arial" w:cs="Arial"/>
                              <w:sz w:val="20"/>
                              <w:szCs w:val="20"/>
                            </w:rPr>
                            <w:t>SB 0888</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Consumer Protection</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38" w:history="1">
                          <w:r w:rsidR="001D25D1">
                            <w:rPr>
                              <w:rStyle w:val="Hyperlink"/>
                              <w:rFonts w:ascii="Arial" w:hAnsi="Arial" w:cs="Arial"/>
                              <w:sz w:val="20"/>
                              <w:szCs w:val="20"/>
                            </w:rPr>
                            <w:t>Flores</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11/09/11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Consumer Protection; Changing the name of the Division of Consumer Services within the Department of Agriculture and Consumer Services to the "Division of Consumer Protection"; amending provisions relating to continuing education; authorizing the Department of Agriculture and Consumer Services to waive firearms training requirements for the initial licensure of private investigative, private security, or repossession services under certain circumstances; providing that an applicant for a commercial telephone seller license may provide other valid forms of identification in lieu of a valid driver license number; removing the requirement that the applicant provide his or her social security number on the application; authorizing the department to temporarily waive certain requirements for generators at retail motor fuel outlets which are used in preparation or response to an emergency or major disaster in another state, etc.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11/09/11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39" w:history="1">
                          <w:r w:rsidR="001D25D1">
                            <w:rPr>
                              <w:rStyle w:val="Hyperlink"/>
                              <w:rFonts w:ascii="Arial" w:hAnsi="Arial" w:cs="Arial"/>
                              <w:sz w:val="20"/>
                              <w:szCs w:val="20"/>
                            </w:rPr>
                            <w:t>SB 0906</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 xml:space="preserve">Relating to Public Records/Investigators and Inspectors/Department of Business and Professional Regulation </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40" w:history="1">
                          <w:r w:rsidR="001D25D1">
                            <w:rPr>
                              <w:rStyle w:val="Hyperlink"/>
                              <w:rFonts w:ascii="Arial" w:hAnsi="Arial" w:cs="Arial"/>
                              <w:sz w:val="20"/>
                              <w:szCs w:val="20"/>
                            </w:rPr>
                            <w:t>Hays</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11/10/11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Public Records/Investigators and Inspectors/Department of Business and Professional Regulation ; Exempting from public record requirements identifying information relating to current and former investigators and inspectors of the Department of Business and Professional Regulation and their spouses and children; providing for future repeal and legislative review of the exemption under the Open Government Sunset Review Act; providing a statement of public necessity, etc.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6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11/10/11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SENATE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41" w:history="1">
                          <w:r w:rsidR="001D25D1">
                            <w:rPr>
                              <w:rStyle w:val="Hyperlink"/>
                              <w:rFonts w:ascii="Arial" w:hAnsi="Arial" w:cs="Arial"/>
                              <w:sz w:val="20"/>
                              <w:szCs w:val="20"/>
                            </w:rPr>
                            <w:t>HB 4033</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Contracting</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42" w:history="1">
                          <w:r w:rsidR="001D25D1">
                            <w:rPr>
                              <w:rStyle w:val="Hyperlink"/>
                              <w:rFonts w:ascii="Arial" w:hAnsi="Arial" w:cs="Arial"/>
                              <w:sz w:val="20"/>
                              <w:szCs w:val="20"/>
                            </w:rPr>
                            <w:t>Plakon</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10/19/11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Contracting: Deletes requirements for Construction Industry Licensing Board &amp; Electrical Contractors' Licensing Board to appoint committees for joint meetings.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09/12/11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294"/>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10/03/11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Referred to Business &amp; Consumer Affairs Subcommittee; Economic Affairs 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4027"/>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10/03/11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Now in Business &amp; Consumer Affairs Subcommittee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962"/>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10/12/11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On Committee agenda - Business &amp; Consumer Affairs Subcommittee, 10/19/11, 1:30 PM, 102 H</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619"/>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10/19/11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Favorable by Business &amp; Consumer Affairs Subcommittee; 14 Yeas, 0 Nays</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10/19/11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Now in Economic Affairs Committee</w:t>
                              </w:r>
                            </w:p>
                          </w:tc>
                        </w:tr>
                        <w:tr w:rsidR="001D25D1">
                          <w:trPr>
                            <w:tblCellSpacing w:w="0" w:type="dxa"/>
                          </w:trPr>
                          <w:tc>
                            <w:tcPr>
                              <w:tcW w:w="0" w:type="auto"/>
                              <w:hideMark/>
                            </w:tcPr>
                            <w:p w:rsidR="001D25D1" w:rsidRDefault="001D25D1">
                              <w:pPr>
                                <w:rPr>
                                  <w:rFonts w:ascii="Arial" w:hAnsi="Arial" w:cs="Arial"/>
                                  <w:sz w:val="15"/>
                                  <w:szCs w:val="15"/>
                                </w:rPr>
                              </w:pPr>
                            </w:p>
                          </w:tc>
                          <w:tc>
                            <w:tcPr>
                              <w:tcW w:w="0" w:type="auto"/>
                              <w:vAlign w:val="center"/>
                              <w:hideMark/>
                            </w:tcPr>
                            <w:p w:rsidR="001D25D1" w:rsidRDefault="001D25D1">
                              <w:pPr>
                                <w:rPr>
                                  <w:rFonts w:ascii="Arial" w:hAnsi="Arial" w:cs="Arial"/>
                                  <w:sz w:val="15"/>
                                  <w:szCs w:val="15"/>
                                </w:rPr>
                              </w:pP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43" w:history="1">
                          <w:r w:rsidR="001D25D1">
                            <w:rPr>
                              <w:rStyle w:val="Hyperlink"/>
                              <w:rFonts w:ascii="Arial" w:hAnsi="Arial" w:cs="Arial"/>
                              <w:sz w:val="20"/>
                              <w:szCs w:val="20"/>
                            </w:rPr>
                            <w:t>HB 4061</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Uniform Home Grading Scale</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44" w:history="1">
                          <w:r w:rsidR="001D25D1">
                            <w:rPr>
                              <w:rStyle w:val="Hyperlink"/>
                              <w:rFonts w:ascii="Arial" w:hAnsi="Arial" w:cs="Arial"/>
                              <w:sz w:val="20"/>
                              <w:szCs w:val="20"/>
                            </w:rPr>
                            <w:t>Bernard</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11/08/11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Uniform Home Grading Scale: Repeals provisions relating to required adoption by Financial Services Commission of uniform home grading scale to grade ability of home to withstand wind load from tropical storms or hurricanes.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10/03/11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Filed</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728"/>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10/17/11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Referred to Insurance &amp; Banking Subcommittee; Economic Affairs 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3460"/>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10/17/11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Now in Insurance &amp; Banking Subcommittee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6412"/>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10/26/11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On Committee Agenda - Insurance &amp; Banking Subcommittee, 11/02/11, 8:30 AM, 404 H</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128"/>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11/02/11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Favorable by Insurance and Banking Subcommittee; 13 Yeas, 1 Nay</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2968"/>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11/03/11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Now in Economic Affairs Committee</w:t>
                              </w:r>
                            </w:p>
                          </w:tc>
                        </w:tr>
                      </w:tbl>
                      <w:p w:rsidR="001D25D1" w:rsidRDefault="001D25D1">
                        <w:pP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5886"/>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11/08/11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On Committee agenda - Economic Affairs Committee, 11/15/11, 4:00 pm, 102 H</w:t>
                              </w:r>
                            </w:p>
                          </w:tc>
                        </w:tr>
                      </w:tbl>
                      <w:p w:rsidR="001D25D1" w:rsidRDefault="001D25D1">
                        <w:pPr>
                          <w:rPr>
                            <w:rFonts w:ascii="Arial" w:hAnsi="Arial" w:cs="Arial"/>
                            <w:sz w:val="20"/>
                            <w:szCs w:val="20"/>
                          </w:rPr>
                        </w:pPr>
                      </w:p>
                    </w:tc>
                  </w:tr>
                  <w:tr w:rsidR="001D25D1" w:rsidTr="001D25D1">
                    <w:trPr>
                      <w:tblCellSpacing w:w="0" w:type="dxa"/>
                      <w:jc w:val="center"/>
                    </w:trPr>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45" w:history="1">
                          <w:r w:rsidR="001D25D1">
                            <w:rPr>
                              <w:rStyle w:val="Hyperlink"/>
                              <w:rFonts w:ascii="Arial" w:hAnsi="Arial" w:cs="Arial"/>
                              <w:sz w:val="20"/>
                              <w:szCs w:val="20"/>
                            </w:rPr>
                            <w:t>HB 4103</w:t>
                          </w:r>
                        </w:hyperlink>
                      </w:p>
                    </w:tc>
                    <w:tc>
                      <w:tcPr>
                        <w:tcW w:w="0" w:type="auto"/>
                        <w:tcBorders>
                          <w:top w:val="single" w:sz="6" w:space="0" w:color="000000"/>
                        </w:tcBorders>
                        <w:shd w:val="clear" w:color="auto" w:fill="EEEEEE"/>
                        <w:vAlign w:val="center"/>
                        <w:hideMark/>
                      </w:tcPr>
                      <w:p w:rsidR="001D25D1" w:rsidRDefault="001D25D1">
                        <w:pPr>
                          <w:rPr>
                            <w:rFonts w:ascii="Arial" w:hAnsi="Arial" w:cs="Arial"/>
                            <w:b/>
                            <w:bCs/>
                            <w:sz w:val="20"/>
                            <w:szCs w:val="20"/>
                          </w:rPr>
                        </w:pPr>
                        <w:r>
                          <w:rPr>
                            <w:rFonts w:ascii="Arial" w:hAnsi="Arial" w:cs="Arial"/>
                            <w:b/>
                            <w:bCs/>
                            <w:sz w:val="20"/>
                            <w:szCs w:val="20"/>
                          </w:rPr>
                          <w:t>Relating to Certification of Minority Business Enterprises</w:t>
                        </w:r>
                      </w:p>
                    </w:tc>
                    <w:tc>
                      <w:tcPr>
                        <w:tcW w:w="0" w:type="auto"/>
                        <w:tcBorders>
                          <w:top w:val="single" w:sz="6" w:space="0" w:color="000000"/>
                        </w:tcBorders>
                        <w:shd w:val="clear" w:color="auto" w:fill="EEEEEE"/>
                        <w:vAlign w:val="center"/>
                        <w:hideMark/>
                      </w:tcPr>
                      <w:p w:rsidR="001D25D1" w:rsidRDefault="005F3FF0">
                        <w:pPr>
                          <w:rPr>
                            <w:rFonts w:ascii="Arial" w:hAnsi="Arial" w:cs="Arial"/>
                            <w:sz w:val="20"/>
                            <w:szCs w:val="20"/>
                          </w:rPr>
                        </w:pPr>
                        <w:hyperlink r:id="rId146" w:history="1">
                          <w:r w:rsidR="001D25D1">
                            <w:rPr>
                              <w:rStyle w:val="Hyperlink"/>
                              <w:rFonts w:ascii="Arial" w:hAnsi="Arial" w:cs="Arial"/>
                              <w:sz w:val="20"/>
                              <w:szCs w:val="20"/>
                            </w:rPr>
                            <w:t>Burgin</w:t>
                          </w:r>
                        </w:hyperlink>
                        <w:r w:rsidR="001D25D1">
                          <w:rPr>
                            <w:rFonts w:ascii="Arial" w:hAnsi="Arial" w:cs="Arial"/>
                            <w:sz w:val="20"/>
                            <w:szCs w:val="20"/>
                          </w:rPr>
                          <w:t xml:space="preserve"> </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11/02/11</w:t>
                        </w: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rPr>
                            <w:rFonts w:ascii="Arial" w:hAnsi="Arial" w:cs="Arial"/>
                            <w:sz w:val="20"/>
                            <w:szCs w:val="20"/>
                          </w:rPr>
                        </w:pPr>
                        <w:r>
                          <w:rPr>
                            <w:rFonts w:ascii="Arial" w:hAnsi="Arial" w:cs="Arial"/>
                            <w:sz w:val="20"/>
                            <w:szCs w:val="20"/>
                          </w:rPr>
                          <w:t> </w:t>
                        </w: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c>
                      <w:tcPr>
                        <w:tcW w:w="0" w:type="auto"/>
                        <w:tcBorders>
                          <w:top w:val="single" w:sz="6" w:space="0" w:color="000000"/>
                        </w:tcBorders>
                        <w:shd w:val="clear" w:color="auto" w:fill="EEEEEE"/>
                        <w:vAlign w:val="center"/>
                        <w:hideMark/>
                      </w:tcPr>
                      <w:p w:rsidR="001D25D1" w:rsidRDefault="001D25D1">
                        <w:pPr>
                          <w:jc w:val="center"/>
                          <w:rPr>
                            <w:rFonts w:ascii="Arial" w:hAnsi="Arial" w:cs="Arial"/>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15"/>
                            <w:szCs w:val="15"/>
                          </w:rPr>
                        </w:pPr>
                      </w:p>
                    </w:tc>
                    <w:tc>
                      <w:tcPr>
                        <w:tcW w:w="0" w:type="auto"/>
                        <w:gridSpan w:val="6"/>
                        <w:vAlign w:val="center"/>
                        <w:hideMark/>
                      </w:tcPr>
                      <w:p w:rsidR="001D25D1" w:rsidRDefault="001D25D1">
                        <w:pPr>
                          <w:rPr>
                            <w:rFonts w:ascii="Arial" w:hAnsi="Arial" w:cs="Arial"/>
                            <w:sz w:val="15"/>
                            <w:szCs w:val="15"/>
                          </w:rPr>
                        </w:pPr>
                        <w:r>
                          <w:rPr>
                            <w:rFonts w:ascii="Arial" w:hAnsi="Arial" w:cs="Arial"/>
                            <w:sz w:val="15"/>
                            <w:szCs w:val="15"/>
                          </w:rPr>
                          <w:t>Certification of Minority Business Enterprises: Deletes provisions establishing Minority Business Certification Task Force, requiring that criteria for certification of minority business enterprises be approved by task force, &amp; authorizing task force to amend statewide &amp; interlocal agreement for certification of minority business enterprises. Effective Date: July 1, 2012</w:t>
                        </w:r>
                      </w:p>
                    </w:tc>
                    <w:tc>
                      <w:tcPr>
                        <w:tcW w:w="0" w:type="auto"/>
                        <w:vAlign w:val="center"/>
                        <w:hideMark/>
                      </w:tcPr>
                      <w:p w:rsidR="001D25D1" w:rsidRDefault="001D25D1">
                        <w:pPr>
                          <w:rPr>
                            <w:sz w:val="20"/>
                            <w:szCs w:val="20"/>
                          </w:rPr>
                        </w:pPr>
                      </w:p>
                    </w:tc>
                  </w:tr>
                  <w:tr w:rsidR="001D25D1" w:rsidTr="001D25D1">
                    <w:trPr>
                      <w:tblCellSpacing w:w="0" w:type="dxa"/>
                      <w:jc w:val="center"/>
                    </w:trPr>
                    <w:tc>
                      <w:tcPr>
                        <w:tcW w:w="0" w:type="auto"/>
                        <w:vAlign w:val="center"/>
                        <w:hideMark/>
                      </w:tcPr>
                      <w:p w:rsidR="001D25D1" w:rsidRDefault="001D25D1">
                        <w:pPr>
                          <w:rPr>
                            <w:rFonts w:ascii="Arial" w:hAnsi="Arial" w:cs="Arial"/>
                            <w:sz w:val="20"/>
                            <w:szCs w:val="20"/>
                          </w:rPr>
                        </w:pPr>
                      </w:p>
                    </w:tc>
                    <w:tc>
                      <w:tcPr>
                        <w:tcW w:w="0" w:type="auto"/>
                        <w:gridSpan w:val="7"/>
                        <w:vAlign w:val="center"/>
                        <w:hideMark/>
                      </w:tcPr>
                      <w:tbl>
                        <w:tblPr>
                          <w:tblW w:w="0" w:type="auto"/>
                          <w:tblCellSpacing w:w="0" w:type="dxa"/>
                          <w:tblCellMar>
                            <w:left w:w="0" w:type="dxa"/>
                            <w:right w:w="0" w:type="dxa"/>
                          </w:tblCellMar>
                          <w:tblLook w:val="04A0"/>
                        </w:tblPr>
                        <w:tblGrid>
                          <w:gridCol w:w="626"/>
                          <w:gridCol w:w="901"/>
                        </w:tblGrid>
                        <w:tr w:rsidR="001D25D1">
                          <w:trPr>
                            <w:tblCellSpacing w:w="0" w:type="dxa"/>
                          </w:trPr>
                          <w:tc>
                            <w:tcPr>
                              <w:tcW w:w="0" w:type="auto"/>
                              <w:hideMark/>
                            </w:tcPr>
                            <w:p w:rsidR="001D25D1" w:rsidRDefault="001D25D1">
                              <w:pPr>
                                <w:rPr>
                                  <w:rFonts w:ascii="Arial" w:hAnsi="Arial" w:cs="Arial"/>
                                  <w:sz w:val="15"/>
                                  <w:szCs w:val="15"/>
                                </w:rPr>
                              </w:pPr>
                              <w:r>
                                <w:rPr>
                                  <w:rFonts w:ascii="Arial" w:hAnsi="Arial" w:cs="Arial"/>
                                  <w:sz w:val="15"/>
                                  <w:szCs w:val="15"/>
                                </w:rPr>
                                <w:t>11/02/11 </w:t>
                              </w:r>
                            </w:p>
                          </w:tc>
                          <w:tc>
                            <w:tcPr>
                              <w:tcW w:w="0" w:type="auto"/>
                              <w:vAlign w:val="center"/>
                              <w:hideMark/>
                            </w:tcPr>
                            <w:p w:rsidR="001D25D1" w:rsidRDefault="001D25D1">
                              <w:pPr>
                                <w:rPr>
                                  <w:rFonts w:ascii="Arial" w:hAnsi="Arial" w:cs="Arial"/>
                                  <w:sz w:val="15"/>
                                  <w:szCs w:val="15"/>
                                </w:rPr>
                              </w:pPr>
                              <w:r>
                                <w:rPr>
                                  <w:rFonts w:ascii="Arial" w:hAnsi="Arial" w:cs="Arial"/>
                                  <w:sz w:val="15"/>
                                  <w:szCs w:val="15"/>
                                </w:rPr>
                                <w:t>HOUSE Filed</w:t>
                              </w:r>
                            </w:p>
                          </w:tc>
                        </w:tr>
                      </w:tbl>
                      <w:p w:rsidR="001D25D1" w:rsidRDefault="001D25D1">
                        <w:pPr>
                          <w:rPr>
                            <w:rFonts w:ascii="Arial" w:hAnsi="Arial" w:cs="Arial"/>
                            <w:sz w:val="20"/>
                            <w:szCs w:val="20"/>
                          </w:rPr>
                        </w:pPr>
                      </w:p>
                    </w:tc>
                  </w:tr>
                </w:tbl>
                <w:p w:rsidR="00B94BF6" w:rsidRDefault="00B94BF6" w:rsidP="00F21394">
                  <w:pPr>
                    <w:rPr>
                      <w:rFonts w:ascii="Arial" w:hAnsi="Arial" w:cs="Arial"/>
                      <w:b/>
                      <w:bCs/>
                      <w:color w:val="FFFFFF"/>
                      <w:sz w:val="20"/>
                      <w:szCs w:val="20"/>
                    </w:rPr>
                  </w:pPr>
                </w:p>
              </w:tc>
              <w:tc>
                <w:tcPr>
                  <w:tcW w:w="0" w:type="auto"/>
                  <w:tcMar>
                    <w:top w:w="45" w:type="dxa"/>
                    <w:left w:w="75" w:type="dxa"/>
                    <w:bottom w:w="45" w:type="dxa"/>
                    <w:right w:w="75" w:type="dxa"/>
                  </w:tcMar>
                  <w:vAlign w:val="center"/>
                  <w:hideMark/>
                </w:tcPr>
                <w:p w:rsidR="00B94BF6" w:rsidRDefault="00B94BF6">
                  <w:pPr>
                    <w:jc w:val="right"/>
                    <w:rPr>
                      <w:rFonts w:ascii="Arial" w:hAnsi="Arial" w:cs="Arial"/>
                      <w:b/>
                      <w:bCs/>
                      <w:color w:val="FFFFFF"/>
                      <w:sz w:val="20"/>
                      <w:szCs w:val="20"/>
                    </w:rPr>
                  </w:pPr>
                </w:p>
              </w:tc>
            </w:tr>
          </w:tbl>
          <w:p w:rsidR="00B94BF6" w:rsidRDefault="00B94BF6">
            <w:pPr>
              <w:rPr>
                <w:rFonts w:ascii="Arial" w:hAnsi="Arial" w:cs="Arial"/>
                <w:sz w:val="20"/>
                <w:szCs w:val="20"/>
              </w:rPr>
            </w:pPr>
          </w:p>
        </w:tc>
      </w:tr>
    </w:tbl>
    <w:p w:rsidR="001D25D1" w:rsidRDefault="001D25D1" w:rsidP="002C5E1D">
      <w:pPr>
        <w:pStyle w:val="BlockText"/>
      </w:pPr>
    </w:p>
    <w:p w:rsidR="001D25D1" w:rsidRDefault="001D25D1" w:rsidP="002C5E1D">
      <w:pPr>
        <w:pStyle w:val="BlockText"/>
      </w:pPr>
    </w:p>
    <w:p w:rsidR="000B76DD" w:rsidRDefault="000B76DD" w:rsidP="002C5E1D">
      <w:pPr>
        <w:pStyle w:val="BlockText"/>
      </w:pPr>
      <w:r>
        <w:t>Respectfully submitted,</w:t>
      </w:r>
    </w:p>
    <w:p w:rsidR="002C5E1D" w:rsidRDefault="005D217B" w:rsidP="002C5E1D">
      <w:pPr>
        <w:pStyle w:val="BlockText"/>
      </w:pPr>
      <w:r>
        <w:t>November 14</w:t>
      </w:r>
      <w:r w:rsidR="00D17EF8">
        <w:t>, 2011</w:t>
      </w:r>
    </w:p>
    <w:p w:rsidR="002C5E1D" w:rsidRDefault="002C5E1D" w:rsidP="002C5E1D">
      <w:pPr>
        <w:pStyle w:val="BlockText"/>
      </w:pPr>
    </w:p>
    <w:p w:rsidR="00251EB1" w:rsidRDefault="002C5E1D" w:rsidP="00F9535D">
      <w:pPr>
        <w:pStyle w:val="BlockText"/>
      </w:pPr>
      <w:r>
        <w:t>-end of report-</w:t>
      </w:r>
    </w:p>
    <w:sectPr w:rsidR="00251EB1" w:rsidSect="009A10B6">
      <w:headerReference w:type="even" r:id="rId147"/>
      <w:headerReference w:type="default" r:id="rId148"/>
      <w:footerReference w:type="even" r:id="rId149"/>
      <w:footerReference w:type="default" r:id="rId150"/>
      <w:headerReference w:type="first" r:id="rId151"/>
      <w:footerReference w:type="first" r:id="rId152"/>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A28" w:rsidRDefault="00FA3A28" w:rsidP="009A2CBA">
      <w:r>
        <w:separator/>
      </w:r>
    </w:p>
  </w:endnote>
  <w:endnote w:type="continuationSeparator" w:id="0">
    <w:p w:rsidR="00FA3A28" w:rsidRDefault="00FA3A28"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A4D" w:rsidRDefault="00CF3A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40E" w:rsidRDefault="007A040E" w:rsidP="000421B5">
    <w:pPr>
      <w:pStyle w:val="Footer"/>
    </w:pPr>
    <w:r>
      <w:tab/>
    </w:r>
    <w:fldSimple w:instr=" PAGE   \* MERGEFORMAT ">
      <w:r w:rsidR="008C05AA">
        <w:rPr>
          <w:noProof/>
        </w:rPr>
        <w:t>2</w:t>
      </w:r>
    </w:fldSimple>
  </w:p>
  <w:p w:rsidR="007A040E" w:rsidRPr="00911FE4" w:rsidRDefault="00CF3A4D" w:rsidP="000421B5">
    <w:pPr>
      <w:pStyle w:val="Footer"/>
      <w:rPr>
        <w:rStyle w:val="DocID"/>
      </w:rPr>
    </w:pPr>
    <w:r w:rsidRPr="00CF3A4D">
      <w:rPr>
        <w:rStyle w:val="DocID"/>
      </w:rPr>
      <w:t>#9764699_v1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40E" w:rsidRPr="00911FE4" w:rsidRDefault="005F3FF0" w:rsidP="000421B5">
    <w:pPr>
      <w:pStyle w:val="Footer"/>
      <w:rPr>
        <w:rStyle w:val="DocID"/>
      </w:rPr>
    </w:pPr>
    <w:r>
      <w:rPr>
        <w:sz w:val="20"/>
      </w:rPr>
      <w:fldChar w:fldCharType="begin"/>
    </w:r>
    <w:r w:rsidR="007A040E">
      <w:rPr>
        <w:sz w:val="20"/>
      </w:rPr>
      <w:instrText xml:space="preserve"> If </w:instrText>
    </w:r>
    <w:r>
      <w:rPr>
        <w:sz w:val="20"/>
      </w:rPr>
      <w:fldChar w:fldCharType="begin"/>
    </w:r>
    <w:r w:rsidR="007A040E">
      <w:rPr>
        <w:sz w:val="20"/>
      </w:rPr>
      <w:instrText xml:space="preserve"> numpages </w:instrText>
    </w:r>
    <w:r>
      <w:rPr>
        <w:sz w:val="20"/>
      </w:rPr>
      <w:fldChar w:fldCharType="separate"/>
    </w:r>
    <w:r w:rsidR="008C05AA">
      <w:rPr>
        <w:noProof/>
        <w:sz w:val="20"/>
      </w:rPr>
      <w:instrText>1</w:instrText>
    </w:r>
    <w:r>
      <w:rPr>
        <w:sz w:val="20"/>
      </w:rPr>
      <w:fldChar w:fldCharType="end"/>
    </w:r>
    <w:r w:rsidR="007A040E">
      <w:rPr>
        <w:sz w:val="20"/>
      </w:rPr>
      <w:instrText xml:space="preserve"> = 1 </w:instrText>
    </w:r>
    <w:r w:rsidR="007A040E" w:rsidRPr="00F4233A">
      <w:rPr>
        <w:rStyle w:val="DocID"/>
      </w:rPr>
      <w:instrText>#9751992_v1</w:instrText>
    </w:r>
    <w:r w:rsidR="007A040E">
      <w:instrText xml:space="preserve"> ""</w:instrText>
    </w:r>
    <w:r w:rsidR="007A040E">
      <w:rPr>
        <w:sz w:val="20"/>
      </w:rPr>
      <w:instrText xml:space="preserve"> </w:instrText>
    </w:r>
    <w:r w:rsidR="008C05AA">
      <w:rPr>
        <w:sz w:val="20"/>
      </w:rPr>
      <w:fldChar w:fldCharType="separate"/>
    </w:r>
    <w:r w:rsidR="008C05AA" w:rsidRPr="00F4233A">
      <w:rPr>
        <w:rStyle w:val="DocID"/>
        <w:noProof/>
      </w:rPr>
      <w:t>#9751992_v1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A28" w:rsidRDefault="00FA3A28" w:rsidP="009A2CBA">
      <w:r>
        <w:separator/>
      </w:r>
    </w:p>
  </w:footnote>
  <w:footnote w:type="continuationSeparator" w:id="0">
    <w:p w:rsidR="00FA3A28" w:rsidRDefault="00FA3A28" w:rsidP="009A2CBA">
      <w:r>
        <w:continuationSeparator/>
      </w:r>
    </w:p>
  </w:footnote>
  <w:footnote w:id="1">
    <w:p w:rsidR="007A040E" w:rsidRDefault="007A040E" w:rsidP="00EF1953">
      <w:pPr>
        <w:pStyle w:val="BlockText"/>
      </w:pPr>
      <w:r>
        <w:rPr>
          <w:rStyle w:val="FootnoteReference"/>
        </w:rPr>
        <w:footnoteRef/>
      </w:r>
      <w:r>
        <w:t xml:space="preserve"> In the case of all Petitions for Declaratory Statement filed with the Florida Building Commission, which normally meets every other month, the commission requires both a First Reading and a Second Reading at different meetings, with the results that any final action thereon requires at least 74-75 days, depending on the timing of the filing in relationship to the required publication dates for the Friday Florida Administrative Weekly (Wednesday noon deadline for publication 10 days later).</w:t>
      </w:r>
    </w:p>
    <w:p w:rsidR="007A040E" w:rsidRDefault="007A040E">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A4D" w:rsidRDefault="00CF3A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A4D" w:rsidRDefault="00CF3A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A4D" w:rsidRDefault="00CF3A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50E0A57"/>
    <w:multiLevelType w:val="hybridMultilevel"/>
    <w:tmpl w:val="6D164288"/>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3"/>
  </w:num>
  <w:num w:numId="3">
    <w:abstractNumId w:val="0"/>
  </w:num>
  <w:num w:numId="4">
    <w:abstractNumId w:val="10"/>
  </w:num>
  <w:num w:numId="5">
    <w:abstractNumId w:val="36"/>
  </w:num>
  <w:num w:numId="6">
    <w:abstractNumId w:val="29"/>
  </w:num>
  <w:num w:numId="7">
    <w:abstractNumId w:val="27"/>
  </w:num>
  <w:num w:numId="8">
    <w:abstractNumId w:val="44"/>
  </w:num>
  <w:num w:numId="9">
    <w:abstractNumId w:val="28"/>
  </w:num>
  <w:num w:numId="10">
    <w:abstractNumId w:val="6"/>
  </w:num>
  <w:num w:numId="11">
    <w:abstractNumId w:val="5"/>
  </w:num>
  <w:num w:numId="12">
    <w:abstractNumId w:val="8"/>
  </w:num>
  <w:num w:numId="13">
    <w:abstractNumId w:val="18"/>
  </w:num>
  <w:num w:numId="14">
    <w:abstractNumId w:val="35"/>
  </w:num>
  <w:num w:numId="15">
    <w:abstractNumId w:val="40"/>
  </w:num>
  <w:num w:numId="16">
    <w:abstractNumId w:val="42"/>
  </w:num>
  <w:num w:numId="17">
    <w:abstractNumId w:val="31"/>
  </w:num>
  <w:num w:numId="18">
    <w:abstractNumId w:val="9"/>
  </w:num>
  <w:num w:numId="19">
    <w:abstractNumId w:val="38"/>
  </w:num>
  <w:num w:numId="20">
    <w:abstractNumId w:val="43"/>
  </w:num>
  <w:num w:numId="21">
    <w:abstractNumId w:val="30"/>
  </w:num>
  <w:num w:numId="22">
    <w:abstractNumId w:val="45"/>
  </w:num>
  <w:num w:numId="23">
    <w:abstractNumId w:val="12"/>
  </w:num>
  <w:num w:numId="24">
    <w:abstractNumId w:val="11"/>
  </w:num>
  <w:num w:numId="25">
    <w:abstractNumId w:val="15"/>
  </w:num>
  <w:num w:numId="26">
    <w:abstractNumId w:val="3"/>
  </w:num>
  <w:num w:numId="27">
    <w:abstractNumId w:val="1"/>
  </w:num>
  <w:num w:numId="28">
    <w:abstractNumId w:val="21"/>
  </w:num>
  <w:num w:numId="29">
    <w:abstractNumId w:val="22"/>
  </w:num>
  <w:num w:numId="30">
    <w:abstractNumId w:val="7"/>
  </w:num>
  <w:num w:numId="31">
    <w:abstractNumId w:val="17"/>
  </w:num>
  <w:num w:numId="32">
    <w:abstractNumId w:val="20"/>
  </w:num>
  <w:num w:numId="33">
    <w:abstractNumId w:val="26"/>
  </w:num>
  <w:num w:numId="34">
    <w:abstractNumId w:val="16"/>
  </w:num>
  <w:num w:numId="35">
    <w:abstractNumId w:val="24"/>
  </w:num>
  <w:num w:numId="36">
    <w:abstractNumId w:val="23"/>
  </w:num>
  <w:num w:numId="37">
    <w:abstractNumId w:val="37"/>
  </w:num>
  <w:num w:numId="38">
    <w:abstractNumId w:val="41"/>
  </w:num>
  <w:num w:numId="39">
    <w:abstractNumId w:val="39"/>
  </w:num>
  <w:num w:numId="40">
    <w:abstractNumId w:val="34"/>
  </w:num>
  <w:num w:numId="41">
    <w:abstractNumId w:val="32"/>
  </w:num>
  <w:num w:numId="42">
    <w:abstractNumId w:val="13"/>
  </w:num>
  <w:num w:numId="43">
    <w:abstractNumId w:val="25"/>
  </w:num>
  <w:num w:numId="44">
    <w:abstractNumId w:val="19"/>
  </w:num>
  <w:num w:numId="45">
    <w:abstractNumId w:val="14"/>
  </w:num>
  <w:num w:numId="4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docVars>
    <w:docVar w:name="LegacyDocIDRemoved" w:val="True"/>
  </w:docVars>
  <w:rsids>
    <w:rsidRoot w:val="00D8155F"/>
    <w:rsid w:val="00011776"/>
    <w:rsid w:val="00016A29"/>
    <w:rsid w:val="00027FC3"/>
    <w:rsid w:val="000302BC"/>
    <w:rsid w:val="000421B5"/>
    <w:rsid w:val="0005012E"/>
    <w:rsid w:val="00084298"/>
    <w:rsid w:val="000A4BA4"/>
    <w:rsid w:val="000B76DD"/>
    <w:rsid w:val="000D2555"/>
    <w:rsid w:val="000F6911"/>
    <w:rsid w:val="00100E22"/>
    <w:rsid w:val="00110D3B"/>
    <w:rsid w:val="001114F7"/>
    <w:rsid w:val="001148B5"/>
    <w:rsid w:val="001156AF"/>
    <w:rsid w:val="00117544"/>
    <w:rsid w:val="00126ABD"/>
    <w:rsid w:val="00146E4E"/>
    <w:rsid w:val="001476D7"/>
    <w:rsid w:val="00151F43"/>
    <w:rsid w:val="00172C04"/>
    <w:rsid w:val="00175923"/>
    <w:rsid w:val="0019065B"/>
    <w:rsid w:val="001963BC"/>
    <w:rsid w:val="001B11FD"/>
    <w:rsid w:val="001B73F6"/>
    <w:rsid w:val="001D1B70"/>
    <w:rsid w:val="001D25D1"/>
    <w:rsid w:val="001D50A8"/>
    <w:rsid w:val="001E327E"/>
    <w:rsid w:val="001F18CD"/>
    <w:rsid w:val="001F7DB9"/>
    <w:rsid w:val="00210263"/>
    <w:rsid w:val="00221926"/>
    <w:rsid w:val="00221AAE"/>
    <w:rsid w:val="00222C12"/>
    <w:rsid w:val="002236E8"/>
    <w:rsid w:val="0022445A"/>
    <w:rsid w:val="00227443"/>
    <w:rsid w:val="002348A5"/>
    <w:rsid w:val="002363CA"/>
    <w:rsid w:val="00236AB0"/>
    <w:rsid w:val="00237AEC"/>
    <w:rsid w:val="00243FF8"/>
    <w:rsid w:val="00246D22"/>
    <w:rsid w:val="00251EB1"/>
    <w:rsid w:val="00252DC4"/>
    <w:rsid w:val="002630F7"/>
    <w:rsid w:val="002857BE"/>
    <w:rsid w:val="00286558"/>
    <w:rsid w:val="00294F80"/>
    <w:rsid w:val="002A4DD8"/>
    <w:rsid w:val="002B0DFC"/>
    <w:rsid w:val="002B3E98"/>
    <w:rsid w:val="002C378F"/>
    <w:rsid w:val="002C5E1D"/>
    <w:rsid w:val="002D4362"/>
    <w:rsid w:val="002E2A6D"/>
    <w:rsid w:val="002F015B"/>
    <w:rsid w:val="00305D83"/>
    <w:rsid w:val="00305FDE"/>
    <w:rsid w:val="00311BC1"/>
    <w:rsid w:val="003134D3"/>
    <w:rsid w:val="003239B0"/>
    <w:rsid w:val="0032598E"/>
    <w:rsid w:val="003319A7"/>
    <w:rsid w:val="003376F7"/>
    <w:rsid w:val="00340637"/>
    <w:rsid w:val="00340740"/>
    <w:rsid w:val="00345235"/>
    <w:rsid w:val="003473F4"/>
    <w:rsid w:val="00383EFB"/>
    <w:rsid w:val="00385904"/>
    <w:rsid w:val="003A1E91"/>
    <w:rsid w:val="003A33A5"/>
    <w:rsid w:val="003A4FB0"/>
    <w:rsid w:val="003C09F0"/>
    <w:rsid w:val="003C50CC"/>
    <w:rsid w:val="003D34DF"/>
    <w:rsid w:val="003E13A7"/>
    <w:rsid w:val="00416C25"/>
    <w:rsid w:val="004200FB"/>
    <w:rsid w:val="00465432"/>
    <w:rsid w:val="0047003F"/>
    <w:rsid w:val="00484B9C"/>
    <w:rsid w:val="004A451E"/>
    <w:rsid w:val="004A582F"/>
    <w:rsid w:val="004C63D8"/>
    <w:rsid w:val="004F3D87"/>
    <w:rsid w:val="00500503"/>
    <w:rsid w:val="00500A47"/>
    <w:rsid w:val="00504537"/>
    <w:rsid w:val="00512724"/>
    <w:rsid w:val="005237C4"/>
    <w:rsid w:val="00535353"/>
    <w:rsid w:val="005463F4"/>
    <w:rsid w:val="005A61CC"/>
    <w:rsid w:val="005B212C"/>
    <w:rsid w:val="005C08FA"/>
    <w:rsid w:val="005C40F9"/>
    <w:rsid w:val="005C5CFC"/>
    <w:rsid w:val="005D217B"/>
    <w:rsid w:val="005F1FB3"/>
    <w:rsid w:val="005F3FF0"/>
    <w:rsid w:val="005F4A79"/>
    <w:rsid w:val="00600D46"/>
    <w:rsid w:val="00614279"/>
    <w:rsid w:val="0063517A"/>
    <w:rsid w:val="00644BDC"/>
    <w:rsid w:val="0064574F"/>
    <w:rsid w:val="00667D54"/>
    <w:rsid w:val="00675E10"/>
    <w:rsid w:val="00685808"/>
    <w:rsid w:val="006A3A6B"/>
    <w:rsid w:val="006B1D63"/>
    <w:rsid w:val="006D3AD0"/>
    <w:rsid w:val="006E5C27"/>
    <w:rsid w:val="006F336C"/>
    <w:rsid w:val="007017B0"/>
    <w:rsid w:val="0070218E"/>
    <w:rsid w:val="007065A1"/>
    <w:rsid w:val="007150E1"/>
    <w:rsid w:val="00722B80"/>
    <w:rsid w:val="00774A2B"/>
    <w:rsid w:val="007755F6"/>
    <w:rsid w:val="00780CCE"/>
    <w:rsid w:val="00793514"/>
    <w:rsid w:val="007977D0"/>
    <w:rsid w:val="007A040E"/>
    <w:rsid w:val="007A2C34"/>
    <w:rsid w:val="007A7335"/>
    <w:rsid w:val="007B455D"/>
    <w:rsid w:val="007E128E"/>
    <w:rsid w:val="00801B02"/>
    <w:rsid w:val="00812FF0"/>
    <w:rsid w:val="00821688"/>
    <w:rsid w:val="008219AB"/>
    <w:rsid w:val="0082467E"/>
    <w:rsid w:val="008271F6"/>
    <w:rsid w:val="00832281"/>
    <w:rsid w:val="0083319A"/>
    <w:rsid w:val="00833649"/>
    <w:rsid w:val="00864F61"/>
    <w:rsid w:val="008667F9"/>
    <w:rsid w:val="00875906"/>
    <w:rsid w:val="00883771"/>
    <w:rsid w:val="0089089A"/>
    <w:rsid w:val="008A7FFE"/>
    <w:rsid w:val="008B06DE"/>
    <w:rsid w:val="008B10F9"/>
    <w:rsid w:val="008B6B8E"/>
    <w:rsid w:val="008B6F95"/>
    <w:rsid w:val="008C05AA"/>
    <w:rsid w:val="008C44B6"/>
    <w:rsid w:val="008C57F6"/>
    <w:rsid w:val="008C6567"/>
    <w:rsid w:val="0090334E"/>
    <w:rsid w:val="009037AF"/>
    <w:rsid w:val="00912B18"/>
    <w:rsid w:val="00927EF0"/>
    <w:rsid w:val="00933C83"/>
    <w:rsid w:val="00936542"/>
    <w:rsid w:val="00940447"/>
    <w:rsid w:val="009459C3"/>
    <w:rsid w:val="0095190E"/>
    <w:rsid w:val="00972224"/>
    <w:rsid w:val="0098369B"/>
    <w:rsid w:val="00990086"/>
    <w:rsid w:val="00994DC4"/>
    <w:rsid w:val="009A1012"/>
    <w:rsid w:val="009A10B6"/>
    <w:rsid w:val="009A2CBA"/>
    <w:rsid w:val="009B472E"/>
    <w:rsid w:val="009B53D8"/>
    <w:rsid w:val="009B7504"/>
    <w:rsid w:val="009C6F42"/>
    <w:rsid w:val="009E1F25"/>
    <w:rsid w:val="009E489B"/>
    <w:rsid w:val="009F3454"/>
    <w:rsid w:val="00A03908"/>
    <w:rsid w:val="00A24F93"/>
    <w:rsid w:val="00A413D5"/>
    <w:rsid w:val="00A47BAD"/>
    <w:rsid w:val="00A47D5F"/>
    <w:rsid w:val="00A52BEC"/>
    <w:rsid w:val="00A862A4"/>
    <w:rsid w:val="00A92BA2"/>
    <w:rsid w:val="00AA49B9"/>
    <w:rsid w:val="00AB6124"/>
    <w:rsid w:val="00AB7A77"/>
    <w:rsid w:val="00AD19E4"/>
    <w:rsid w:val="00AD3673"/>
    <w:rsid w:val="00AD4A48"/>
    <w:rsid w:val="00AE40E2"/>
    <w:rsid w:val="00AE4928"/>
    <w:rsid w:val="00B11BE8"/>
    <w:rsid w:val="00B1354A"/>
    <w:rsid w:val="00B43413"/>
    <w:rsid w:val="00B51F07"/>
    <w:rsid w:val="00B55AA9"/>
    <w:rsid w:val="00B605B3"/>
    <w:rsid w:val="00B6409D"/>
    <w:rsid w:val="00B65A78"/>
    <w:rsid w:val="00B75D21"/>
    <w:rsid w:val="00B82F44"/>
    <w:rsid w:val="00B854DA"/>
    <w:rsid w:val="00B94BF6"/>
    <w:rsid w:val="00BB3CE8"/>
    <w:rsid w:val="00BB43FD"/>
    <w:rsid w:val="00BC3ED9"/>
    <w:rsid w:val="00BD0579"/>
    <w:rsid w:val="00BF5744"/>
    <w:rsid w:val="00C0615F"/>
    <w:rsid w:val="00C10FB4"/>
    <w:rsid w:val="00C15A97"/>
    <w:rsid w:val="00C17A11"/>
    <w:rsid w:val="00C41104"/>
    <w:rsid w:val="00C42CAD"/>
    <w:rsid w:val="00C46B9E"/>
    <w:rsid w:val="00C527C3"/>
    <w:rsid w:val="00C552DE"/>
    <w:rsid w:val="00C613B0"/>
    <w:rsid w:val="00C666BD"/>
    <w:rsid w:val="00C71560"/>
    <w:rsid w:val="00C80F74"/>
    <w:rsid w:val="00C8621F"/>
    <w:rsid w:val="00CA1872"/>
    <w:rsid w:val="00CA1D5A"/>
    <w:rsid w:val="00CA5910"/>
    <w:rsid w:val="00CB18D5"/>
    <w:rsid w:val="00CB393B"/>
    <w:rsid w:val="00CD02EB"/>
    <w:rsid w:val="00CF2384"/>
    <w:rsid w:val="00CF3A4D"/>
    <w:rsid w:val="00CF7C33"/>
    <w:rsid w:val="00D17EF8"/>
    <w:rsid w:val="00D31E05"/>
    <w:rsid w:val="00D42313"/>
    <w:rsid w:val="00D45220"/>
    <w:rsid w:val="00D51EF8"/>
    <w:rsid w:val="00D532DF"/>
    <w:rsid w:val="00D5683A"/>
    <w:rsid w:val="00D6075F"/>
    <w:rsid w:val="00D64A8A"/>
    <w:rsid w:val="00D8155F"/>
    <w:rsid w:val="00D92897"/>
    <w:rsid w:val="00D9374F"/>
    <w:rsid w:val="00D96664"/>
    <w:rsid w:val="00D9771C"/>
    <w:rsid w:val="00D97BF8"/>
    <w:rsid w:val="00DA5E85"/>
    <w:rsid w:val="00DB1B72"/>
    <w:rsid w:val="00DD18B8"/>
    <w:rsid w:val="00DD5BF9"/>
    <w:rsid w:val="00DD760C"/>
    <w:rsid w:val="00DE0FB7"/>
    <w:rsid w:val="00DE3DD6"/>
    <w:rsid w:val="00DE517B"/>
    <w:rsid w:val="00DE5A5D"/>
    <w:rsid w:val="00DF4C21"/>
    <w:rsid w:val="00E10E84"/>
    <w:rsid w:val="00E311DC"/>
    <w:rsid w:val="00E3534A"/>
    <w:rsid w:val="00E4444A"/>
    <w:rsid w:val="00E95DE1"/>
    <w:rsid w:val="00E97E26"/>
    <w:rsid w:val="00EA3A1A"/>
    <w:rsid w:val="00EB0314"/>
    <w:rsid w:val="00EB2DD7"/>
    <w:rsid w:val="00EB56F6"/>
    <w:rsid w:val="00EC3C0E"/>
    <w:rsid w:val="00EF1953"/>
    <w:rsid w:val="00EF2D9E"/>
    <w:rsid w:val="00EF3BC8"/>
    <w:rsid w:val="00F003DC"/>
    <w:rsid w:val="00F023FE"/>
    <w:rsid w:val="00F0773C"/>
    <w:rsid w:val="00F10ABD"/>
    <w:rsid w:val="00F15B84"/>
    <w:rsid w:val="00F21394"/>
    <w:rsid w:val="00F33F66"/>
    <w:rsid w:val="00F4233A"/>
    <w:rsid w:val="00F43272"/>
    <w:rsid w:val="00F50B67"/>
    <w:rsid w:val="00F52831"/>
    <w:rsid w:val="00F53B73"/>
    <w:rsid w:val="00F53D3E"/>
    <w:rsid w:val="00F61714"/>
    <w:rsid w:val="00F7015E"/>
    <w:rsid w:val="00F828AE"/>
    <w:rsid w:val="00F85ED6"/>
    <w:rsid w:val="00F9398C"/>
    <w:rsid w:val="00F9535D"/>
    <w:rsid w:val="00F97BF7"/>
    <w:rsid w:val="00FA2710"/>
    <w:rsid w:val="00FA3A28"/>
    <w:rsid w:val="00FB554A"/>
    <w:rsid w:val="00FB588A"/>
    <w:rsid w:val="00FC0694"/>
    <w:rsid w:val="00FC6F29"/>
    <w:rsid w:val="00FD13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4" Type="http://schemas.openxmlformats.org/officeDocument/2006/relationships/theme" Target="theme/theme1.xml"/><Relationship Id="rId1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9"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0" Type="http://schemas.openxmlformats.org/officeDocument/2006/relationships/footer" Target="footer2.xml"/><Relationship Id="rId1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8" Type="http://schemas.openxmlformats.org/officeDocument/2006/relationships/header" Target="header2.xml"/><Relationship Id="rId15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 Type="http://schemas.openxmlformats.org/officeDocument/2006/relationships/styles" Target="styles.xml"/><Relationship Id="rId2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2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4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1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3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6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8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52" Type="http://schemas.openxmlformats.org/officeDocument/2006/relationships/footer" Target="footer3.xml"/><Relationship Id="rId19"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7"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0"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05"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6"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7" Type="http://schemas.openxmlformats.org/officeDocument/2006/relationships/header" Target="header1.xml"/><Relationship Id="rId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5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7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3"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98"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21"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142" Type="http://schemas.openxmlformats.org/officeDocument/2006/relationships/hyperlink" Target="http://apps.lobbytools.com/tools/print.cfm?a=reports&amp;b=folder_bills&amp;c=&amp;printit=1&amp;ID=20535&amp;PagePointer=t.cfm&amp;folderaccountid=815&amp;sessionid=32&amp;viewtype=Long&amp;showcomments=none&amp;lstItemID="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3</Pages>
  <Words>7600</Words>
  <Characters>45945</Characters>
  <Application>Microsoft Office Word</Application>
  <DocSecurity>0</DocSecurity>
  <Lines>1494</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_</cp:lastModifiedBy>
  <cp:revision>2</cp:revision>
  <cp:lastPrinted>2011-11-14T15:07:00Z</cp:lastPrinted>
  <dcterms:created xsi:type="dcterms:W3CDTF">2011-11-14T15:09:00Z</dcterms:created>
  <dcterms:modified xsi:type="dcterms:W3CDTF">2011-11-14T15:09:00Z</dcterms:modified>
  <cp:category/>
</cp:coreProperties>
</file>