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F9535D" w:rsidRPr="00B82F44" w:rsidRDefault="00F9535D" w:rsidP="00D8155F">
      <w:pPr>
        <w:pStyle w:val="BlockText"/>
        <w:jc w:val="center"/>
        <w:rPr>
          <w:b/>
          <w:sz w:val="28"/>
          <w:szCs w:val="28"/>
        </w:rPr>
      </w:pPr>
      <w:r w:rsidRPr="00B82F44">
        <w:rPr>
          <w:b/>
          <w:sz w:val="28"/>
          <w:szCs w:val="28"/>
        </w:rPr>
        <w:t>Construction Law Committee</w:t>
      </w:r>
    </w:p>
    <w:p w:rsidR="009A10B6" w:rsidRDefault="009A10B6" w:rsidP="00D8155F">
      <w:pPr>
        <w:pStyle w:val="BlockText"/>
        <w:jc w:val="center"/>
        <w:rPr>
          <w:b/>
        </w:rPr>
      </w:pPr>
    </w:p>
    <w:p w:rsidR="009E1F25" w:rsidRPr="001476D7" w:rsidRDefault="009E1F25" w:rsidP="00D8155F">
      <w:pPr>
        <w:pStyle w:val="BlockText"/>
        <w:jc w:val="center"/>
        <w:rPr>
          <w:b/>
        </w:rPr>
      </w:pPr>
    </w:p>
    <w:p w:rsidR="00F9535D" w:rsidRPr="001476D7" w:rsidRDefault="00DE5A5D" w:rsidP="00D8155F">
      <w:pPr>
        <w:pStyle w:val="BlockText"/>
        <w:jc w:val="center"/>
        <w:rPr>
          <w:b/>
          <w:i/>
          <w:u w:val="single"/>
        </w:rPr>
      </w:pPr>
      <w:r>
        <w:rPr>
          <w:b/>
          <w:i/>
          <w:u w:val="single"/>
        </w:rPr>
        <w:t>Construction Regulation</w:t>
      </w:r>
      <w:r w:rsidR="00F9535D" w:rsidRPr="001476D7">
        <w:rPr>
          <w:b/>
          <w:i/>
          <w:u w:val="single"/>
        </w:rPr>
        <w:t xml:space="preserve"> Subcommittee</w:t>
      </w:r>
      <w:r w:rsidR="00251EB1" w:rsidRPr="001476D7">
        <w:rPr>
          <w:b/>
          <w:i/>
          <w:u w:val="single"/>
        </w:rPr>
        <w:t xml:space="preserve"> Monthly Report</w:t>
      </w:r>
    </w:p>
    <w:p w:rsidR="00F9535D" w:rsidRDefault="001476D7" w:rsidP="00D8155F">
      <w:pPr>
        <w:pStyle w:val="BlockText"/>
        <w:jc w:val="center"/>
      </w:pPr>
      <w:r>
        <w:t>Month of</w:t>
      </w:r>
      <w:r w:rsidR="00BB3CE8">
        <w:t xml:space="preserve">: October </w:t>
      </w:r>
      <w:r w:rsidR="004A582F">
        <w:t>2011</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B43413" w:rsidRDefault="00B43413" w:rsidP="00D9771C">
      <w:pPr>
        <w:pStyle w:val="BlockText"/>
        <w:rPr>
          <w:b/>
          <w:u w:val="single"/>
        </w:rPr>
      </w:pPr>
    </w:p>
    <w:p w:rsidR="009E1F25" w:rsidRDefault="00B43413" w:rsidP="00BB3CE8">
      <w:pPr>
        <w:pStyle w:val="BlockText"/>
      </w:pPr>
      <w:r>
        <w:tab/>
      </w:r>
      <w:r w:rsidR="00210263" w:rsidRPr="00210263">
        <w:rPr>
          <w:i/>
          <w:u w:val="single"/>
        </w:rPr>
        <w:t>Rodriquez-Faro v. M. Escarda Contractor, Inc.,</w:t>
      </w:r>
      <w:r w:rsidR="00210263">
        <w:t xml:space="preserve"> Case No. 3D10-1275, filed September 28, 2011: Reversed summary judgment that trial court had entered in favor of contractor for unliquidated damages on equitable lien for balance due under an uncompleted contract, based on failure to notify defaulted homeowner of the hearing on such damages, and reversed denial of homeowners’ motion to vacate. Held: a defaulting party is entitled to notice and an opportunity to be heard when the amount of damages is unliquidated, for which testimony is required to ascertain the value; as a result, contractor’s affidavit was insufficient evidence of value of completed work where the contract had not yet been fully performed.</w:t>
      </w:r>
    </w:p>
    <w:p w:rsidR="00F85ED6" w:rsidRDefault="00F85ED6" w:rsidP="00BB3CE8">
      <w:pPr>
        <w:pStyle w:val="BlockText"/>
      </w:pPr>
    </w:p>
    <w:p w:rsidR="00F85ED6" w:rsidRDefault="00F85ED6" w:rsidP="00BB3CE8">
      <w:pPr>
        <w:pStyle w:val="BlockText"/>
      </w:pPr>
      <w:r>
        <w:tab/>
      </w:r>
      <w:r w:rsidRPr="00F85ED6">
        <w:rPr>
          <w:i/>
          <w:u w:val="single"/>
        </w:rPr>
        <w:t>Helping Hand Private Foundations, Inc. v. Ocean Palms Beach Club, Inc</w:t>
      </w:r>
      <w:r>
        <w:t>., Case No. 5D10-4402, filed September 30, 2011: Summary judgment cannot be granted were affirmative defenses are raised unless the movant can disprove them or establish their legal insufficiency.</w:t>
      </w:r>
    </w:p>
    <w:p w:rsidR="00210263" w:rsidRDefault="00210263" w:rsidP="00BB3CE8">
      <w:pPr>
        <w:pStyle w:val="BlockText"/>
      </w:pPr>
    </w:p>
    <w:p w:rsidR="00210263" w:rsidRDefault="00210263" w:rsidP="00BB3CE8">
      <w:pPr>
        <w:pStyle w:val="BlockText"/>
      </w:pPr>
      <w:r>
        <w:tab/>
      </w:r>
      <w:r w:rsidRPr="00210263">
        <w:rPr>
          <w:i/>
          <w:u w:val="single"/>
        </w:rPr>
        <w:t>Gentry an Stone v. Harborage Cottages- Stuart, LLLP</w:t>
      </w:r>
      <w:r>
        <w:t>, 2011 WL 3904087 (C.A. 11 - Fla.)</w:t>
      </w:r>
      <w:r w:rsidR="00F85ED6">
        <w:t>, filed September 7, 2011</w:t>
      </w:r>
      <w:r>
        <w:t xml:space="preserve">: Held that the ILSFDA exemptions do not apply where developer attempts to evade purpose of disclosure requirements, and that failure to give a property report, and to make misrepresentations of act entitle purchasers to revocation, </w:t>
      </w:r>
      <w:r w:rsidR="00F85ED6">
        <w:t>recession</w:t>
      </w:r>
      <w:r>
        <w:t xml:space="preserve"> and refund of deposits.</w:t>
      </w:r>
    </w:p>
    <w:p w:rsidR="00EF2D9E" w:rsidRDefault="00EF2D9E" w:rsidP="00D9771C">
      <w:pPr>
        <w:pStyle w:val="BlockText"/>
        <w:rPr>
          <w:b/>
          <w:u w:val="single"/>
        </w:rPr>
      </w:pPr>
    </w:p>
    <w:p w:rsidR="00D9771C" w:rsidRDefault="00D9771C" w:rsidP="00D9771C">
      <w:pPr>
        <w:pStyle w:val="BlockText"/>
      </w:pPr>
      <w:r w:rsidRPr="00D9771C">
        <w:rPr>
          <w:b/>
          <w:u w:val="single"/>
        </w:rPr>
        <w:t>DOAH Orders:</w:t>
      </w:r>
      <w:r w:rsidR="0083319A">
        <w:t xml:space="preserve"> </w:t>
      </w:r>
    </w:p>
    <w:p w:rsidR="00940447" w:rsidRDefault="00940447" w:rsidP="00D9771C">
      <w:pPr>
        <w:pStyle w:val="BlockText"/>
      </w:pPr>
    </w:p>
    <w:p w:rsidR="00286558" w:rsidRDefault="00940447" w:rsidP="00BB3CE8">
      <w:pPr>
        <w:pStyle w:val="BlockText"/>
      </w:pPr>
      <w:r>
        <w:tab/>
      </w:r>
      <w:r w:rsidR="00F85ED6">
        <w:t>(Nothing new to report)</w:t>
      </w:r>
    </w:p>
    <w:p w:rsidR="00675E10" w:rsidRDefault="00675E10" w:rsidP="00F9535D">
      <w:pPr>
        <w:pStyle w:val="BlockText"/>
        <w:rPr>
          <w:b/>
          <w:u w:val="single"/>
        </w:rPr>
      </w:pPr>
    </w:p>
    <w:p w:rsidR="009E1F25" w:rsidRDefault="00D9771C" w:rsidP="00F9535D">
      <w:pPr>
        <w:pStyle w:val="BlockText"/>
        <w:rPr>
          <w:b/>
        </w:rPr>
      </w:pPr>
      <w:r w:rsidRPr="00D9771C">
        <w:rPr>
          <w:b/>
          <w:u w:val="single"/>
        </w:rPr>
        <w:t>Agency Actions:</w:t>
      </w:r>
      <w:r w:rsidR="00AE4928">
        <w:rPr>
          <w:b/>
        </w:rPr>
        <w:t xml:space="preserve"> </w:t>
      </w:r>
    </w:p>
    <w:p w:rsidR="00C666BD" w:rsidRDefault="00C666BD" w:rsidP="00F9535D">
      <w:pPr>
        <w:pStyle w:val="BlockText"/>
        <w:rPr>
          <w:b/>
        </w:rPr>
      </w:pPr>
    </w:p>
    <w:p w:rsidR="00D9771C" w:rsidRPr="00AE4928" w:rsidRDefault="00236AB0" w:rsidP="00F9535D">
      <w:pPr>
        <w:pStyle w:val="BlockText"/>
        <w:rPr>
          <w:b/>
        </w:rPr>
      </w:pPr>
      <w:r>
        <w:rPr>
          <w:b/>
        </w:rPr>
        <w:t>Note that state agencies are</w:t>
      </w:r>
      <w:r w:rsidR="00AE4928">
        <w:rPr>
          <w:b/>
        </w:rPr>
        <w:t xml:space="preserve"> beginning to </w:t>
      </w:r>
      <w:r>
        <w:rPr>
          <w:b/>
        </w:rPr>
        <w:t xml:space="preserve">again promulgate rules </w:t>
      </w:r>
      <w:r w:rsidR="00AE4928">
        <w:rPr>
          <w:b/>
        </w:rPr>
        <w:t>since the Governor’s Executive Order of January, 2011, “freezing” new rules</w:t>
      </w:r>
      <w:r>
        <w:rPr>
          <w:b/>
        </w:rPr>
        <w:t xml:space="preserve"> </w:t>
      </w:r>
      <w:r w:rsidR="009459C3" w:rsidRPr="009459C3">
        <w:rPr>
          <w:b/>
          <w:u w:val="single"/>
        </w:rPr>
        <w:t xml:space="preserve">has now been stricken down by the </w:t>
      </w:r>
      <w:r w:rsidR="00222C12" w:rsidRPr="009459C3">
        <w:rPr>
          <w:b/>
          <w:u w:val="single"/>
        </w:rPr>
        <w:t>Florida</w:t>
      </w:r>
      <w:r w:rsidR="009459C3" w:rsidRPr="009459C3">
        <w:rPr>
          <w:b/>
          <w:u w:val="single"/>
        </w:rPr>
        <w:t xml:space="preserve"> Supreme Court</w:t>
      </w:r>
      <w:r w:rsidR="00722B80">
        <w:rPr>
          <w:b/>
        </w:rPr>
        <w:t>, in Whiley v. Scott</w:t>
      </w:r>
      <w:r w:rsidR="009459C3">
        <w:rPr>
          <w:b/>
        </w:rPr>
        <w:t>.</w:t>
      </w:r>
      <w:r w:rsidR="009A1012">
        <w:rPr>
          <w:b/>
        </w:rPr>
        <w:t xml:space="preserve"> In addition, agencies and boards have now be requested to identify rules that are obsolete, unnecessary or provided for in federal rules, and to report all such rules to the Governor’s new Office of Economic Development; it is not yet clear if those rules will be repealed via the statutory rule-making process (Chapter 120) or presented to the 2012 legislature for statutory </w:t>
      </w:r>
      <w:r w:rsidR="00222C12">
        <w:rPr>
          <w:b/>
        </w:rPr>
        <w:t>repeal</w:t>
      </w:r>
      <w:r w:rsidR="009A1012">
        <w:rPr>
          <w:b/>
        </w:rPr>
        <w:t>.</w:t>
      </w:r>
    </w:p>
    <w:p w:rsidR="0098369B" w:rsidRDefault="0098369B"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F21394" w:rsidRDefault="00F9535D" w:rsidP="00F21394">
      <w:pPr>
        <w:pStyle w:val="BlockText"/>
        <w:numPr>
          <w:ilvl w:val="0"/>
          <w:numId w:val="32"/>
        </w:numPr>
      </w:pPr>
      <w:r w:rsidRPr="00F21394">
        <w:rPr>
          <w:u w:val="single"/>
        </w:rPr>
        <w:t>Constru</w:t>
      </w:r>
      <w:r w:rsidR="00CA1872" w:rsidRPr="00F21394">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305FDE">
        <w:t>:</w:t>
      </w:r>
      <w:r w:rsidR="00F21394">
        <w:t xml:space="preserve"> </w:t>
      </w:r>
    </w:p>
    <w:p w:rsidR="00AE40E2" w:rsidRDefault="00AE40E2" w:rsidP="00722B80">
      <w:pPr>
        <w:pStyle w:val="BlockText"/>
        <w:numPr>
          <w:ilvl w:val="1"/>
          <w:numId w:val="32"/>
        </w:numPr>
      </w:pPr>
      <w:r>
        <w:t>This board proposes to amend Rule 61G4-16.009, FAC, regarding examinations</w:t>
      </w:r>
      <w:r w:rsidR="00722B80">
        <w:t>, by amending section (1)(b)</w:t>
      </w:r>
      <w:r>
        <w:t>2.</w:t>
      </w:r>
      <w:r w:rsidR="00722B80">
        <w:t xml:space="preserve"> t</w:t>
      </w:r>
      <w:r>
        <w:t>hereof to allow an applicant for licensure four (4)</w:t>
      </w:r>
      <w:r w:rsidR="00722B80">
        <w:t xml:space="preserve"> </w:t>
      </w:r>
      <w:r>
        <w:lastRenderedPageBreak/>
        <w:t xml:space="preserve">years (rather than two years) to pass all tests, and to delete the limitation that </w:t>
      </w:r>
      <w:r w:rsidR="00722B80">
        <w:t>a candidate can test the test no more than six (6) times.</w:t>
      </w:r>
    </w:p>
    <w:p w:rsidR="00722B80" w:rsidRDefault="00722B80" w:rsidP="00722B80">
      <w:pPr>
        <w:pStyle w:val="BlockText"/>
        <w:ind w:left="1800"/>
      </w:pPr>
    </w:p>
    <w:p w:rsidR="00722B80" w:rsidRDefault="00722B80" w:rsidP="00722B80">
      <w:pPr>
        <w:pStyle w:val="BlockText"/>
        <w:numPr>
          <w:ilvl w:val="1"/>
          <w:numId w:val="32"/>
        </w:numPr>
      </w:pPr>
      <w:r>
        <w:t>This board also proposes to amend Rule 61G4-15.001, FAC, regarding qualifications for certification by amending section (5)(c) thereof regarding instructions for swimming pool/spa servicing contractor to reflect a name change of the national organization materials.</w:t>
      </w:r>
    </w:p>
    <w:p w:rsidR="00722B80" w:rsidRDefault="00722B80" w:rsidP="00722B80">
      <w:pPr>
        <w:pStyle w:val="ListParagraph"/>
      </w:pPr>
    </w:p>
    <w:p w:rsidR="00BB3CE8" w:rsidRDefault="00722B80" w:rsidP="009B53D8">
      <w:pPr>
        <w:pStyle w:val="BlockText"/>
        <w:numPr>
          <w:ilvl w:val="1"/>
          <w:numId w:val="32"/>
        </w:numPr>
      </w:pPr>
      <w:r>
        <w:t>The board is proposing a new Rule 61G4-15.008 to permit revocation or suspension for material false statements or information submitted in licensure application.</w:t>
      </w:r>
    </w:p>
    <w:p w:rsidR="00F21394" w:rsidRDefault="00F21394" w:rsidP="009A1012"/>
    <w:p w:rsidR="009B53D8" w:rsidRDefault="00F9535D" w:rsidP="009B53D8">
      <w:pPr>
        <w:pStyle w:val="BlockText"/>
        <w:numPr>
          <w:ilvl w:val="0"/>
          <w:numId w:val="32"/>
        </w:numPr>
      </w:pPr>
      <w:r w:rsidRPr="007755F6">
        <w:rPr>
          <w:u w:val="single"/>
        </w:rPr>
        <w:t>Electric</w:t>
      </w:r>
      <w:r w:rsidR="00CA1872" w:rsidRPr="007755F6">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r w:rsidR="009B53D8">
        <w:t>This board has WITHDRAWN Notice of Rulemaking published in July 2011, or Rule 61G6-10.0065 regarding the reinstatement of null and void licenses pursuant to s. 455.271(6)(b), F. S.</w:t>
      </w:r>
    </w:p>
    <w:p w:rsidR="00172C04" w:rsidRDefault="00172C04" w:rsidP="005B212C"/>
    <w:p w:rsidR="005B212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By order filed on August 31, 2011, this board GRANTED the Petition for Wavier or Variance filed on June 7, 2011, by Jennifer Wood, from Rule 61G1-22.002(1), FAC with requires applicants for licensure obtain certain diversified interior design experience required by s. 489.209(2), F. S.</w:t>
      </w:r>
    </w:p>
    <w:p w:rsidR="009A1012" w:rsidRDefault="009A1012" w:rsidP="00BB3CE8"/>
    <w:p w:rsidR="00CF2384" w:rsidRDefault="00CF2384" w:rsidP="009B53D8">
      <w:pPr>
        <w:pStyle w:val="BlockText"/>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9B53D8" w:rsidRDefault="009B53D8" w:rsidP="009B53D8">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2363CA" w:rsidRDefault="002363CA" w:rsidP="002363CA">
      <w:pPr>
        <w:pStyle w:val="BlockText"/>
        <w:ind w:left="1080"/>
      </w:pPr>
    </w:p>
    <w:p w:rsidR="009B53D8" w:rsidRDefault="009B53D8" w:rsidP="009B53D8">
      <w:pPr>
        <w:pStyle w:val="BlockText"/>
        <w:numPr>
          <w:ilvl w:val="1"/>
          <w:numId w:val="32"/>
        </w:numPr>
      </w:pPr>
      <w:r>
        <w:t>On October 8, 2011, this board published notice or a proposed rule amendment to Rule 61G15-23.003 to delete unnecessary language and to modify provisions to update the Federal Information Processing Standard Publication and to provide a website address where those standards can be ascertained.</w:t>
      </w:r>
    </w:p>
    <w:p w:rsidR="002363CA" w:rsidRDefault="002363CA" w:rsidP="002363CA">
      <w:pPr>
        <w:pStyle w:val="BlockText"/>
        <w:ind w:left="1800"/>
      </w:pPr>
    </w:p>
    <w:p w:rsidR="009B53D8" w:rsidRDefault="009B53D8" w:rsidP="009B53D8">
      <w:pPr>
        <w:pStyle w:val="BlockText"/>
        <w:numPr>
          <w:ilvl w:val="1"/>
          <w:numId w:val="32"/>
        </w:numPr>
      </w:pPr>
      <w:r>
        <w:t xml:space="preserve">This board has also proposed to amend Rule 61G15-18.011 on “Definitions” to </w:t>
      </w:r>
      <w:r w:rsidR="002363CA">
        <w:t>delete unnecessary language and to renumber the rule accordingly.</w:t>
      </w:r>
    </w:p>
    <w:p w:rsidR="002363CA" w:rsidRDefault="002363CA" w:rsidP="002363CA">
      <w:pPr>
        <w:pStyle w:val="BlockText"/>
      </w:pPr>
    </w:p>
    <w:p w:rsidR="002363CA" w:rsidRDefault="002363CA" w:rsidP="009B53D8">
      <w:pPr>
        <w:pStyle w:val="BlockText"/>
        <w:numPr>
          <w:ilvl w:val="1"/>
          <w:numId w:val="32"/>
        </w:numPr>
      </w:pPr>
      <w:r>
        <w:t>This board has further proposed to amend Rule 61G15-29.001 regarding Certification Definitions, Procedures and Prohibitions to delete unnecessary language and add new clarifying language.</w:t>
      </w:r>
    </w:p>
    <w:p w:rsidR="002363CA" w:rsidRDefault="002363CA" w:rsidP="002363CA">
      <w:pPr>
        <w:pStyle w:val="BlockText"/>
      </w:pPr>
    </w:p>
    <w:p w:rsidR="002363CA" w:rsidRDefault="002363CA" w:rsidP="009B53D8">
      <w:pPr>
        <w:pStyle w:val="BlockText"/>
        <w:numPr>
          <w:ilvl w:val="1"/>
          <w:numId w:val="32"/>
        </w:numPr>
      </w:pPr>
      <w:r>
        <w:t>This board has published Notice of Change to proposed amendments to Rule 61G15-20.007 regarding educational requirements and demonstration of “substantial equivalency,”  based on recommendations made the by Legislature’s Joint Administrative Procedures Committee.</w:t>
      </w:r>
    </w:p>
    <w:p w:rsidR="009A1012" w:rsidRDefault="009A1012" w:rsidP="002363CA">
      <w:pPr>
        <w:pStyle w:val="BlockText"/>
      </w:pPr>
    </w:p>
    <w:p w:rsidR="00D532DF" w:rsidRDefault="00D532DF" w:rsidP="00D532DF">
      <w:pPr>
        <w:pStyle w:val="BlockText"/>
        <w:ind w:left="1080"/>
      </w:pPr>
    </w:p>
    <w:p w:rsidR="009A1012" w:rsidRDefault="00F9535D" w:rsidP="00BB3CE8">
      <w:pPr>
        <w:pStyle w:val="BlockText"/>
        <w:numPr>
          <w:ilvl w:val="0"/>
          <w:numId w:val="32"/>
        </w:numPr>
      </w:pPr>
      <w:r w:rsidRPr="009A1012">
        <w:rPr>
          <w:u w:val="single"/>
        </w:rPr>
        <w:lastRenderedPageBreak/>
        <w:t>Building Code Administrators and Inspectors</w:t>
      </w:r>
      <w:r>
        <w:t xml:space="preserve"> Board</w:t>
      </w:r>
      <w:r w:rsidR="00CA1872">
        <w:t xml:space="preserve"> – Chapter 468, Part XII and 61G19 FAC</w:t>
      </w:r>
      <w:r w:rsidR="002E2A6D">
        <w:t xml:space="preserve">: </w:t>
      </w:r>
    </w:p>
    <w:p w:rsidR="002363CA" w:rsidRDefault="002363CA" w:rsidP="002363CA">
      <w:pPr>
        <w:pStyle w:val="BlockText"/>
        <w:ind w:left="2160"/>
      </w:pPr>
      <w:r>
        <w:t>(Nothing to report)</w:t>
      </w:r>
    </w:p>
    <w:p w:rsidR="005C5CFC" w:rsidRPr="003134D3" w:rsidRDefault="005C5CFC" w:rsidP="005C5CFC">
      <w:pPr>
        <w:pStyle w:val="BlockText"/>
      </w:pPr>
    </w:p>
    <w:p w:rsidR="005C5CFC" w:rsidRDefault="0098369B" w:rsidP="009A1012">
      <w:pPr>
        <w:pStyle w:val="BlockText"/>
        <w:numPr>
          <w:ilvl w:val="0"/>
          <w:numId w:val="32"/>
        </w:numPr>
      </w:pPr>
      <w:r w:rsidRPr="00DA5E85">
        <w:rPr>
          <w:u w:val="single"/>
        </w:rPr>
        <w:t>Florida Building Commission</w:t>
      </w:r>
      <w:r w:rsidR="00EF1953">
        <w:rPr>
          <w:rStyle w:val="FootnoteReference"/>
          <w:u w:val="single"/>
        </w:rPr>
        <w:footnoteReference w:id="1"/>
      </w:r>
      <w:r w:rsidR="00CA1872">
        <w:t xml:space="preserve"> – C</w:t>
      </w:r>
      <w:r w:rsidR="00383EFB">
        <w:t>hapter 553, Part IV</w:t>
      </w:r>
      <w:r w:rsidR="002E2A6D">
        <w:t xml:space="preserve"> and 9N FAC:</w:t>
      </w:r>
      <w:r w:rsidR="009A1012">
        <w:t xml:space="preserve"> The commiss</w:t>
      </w:r>
      <w:r w:rsidR="002363CA">
        <w:t>ion’s Energy Manual Workgroup will meet via phone conference (888-808-6959, Code: 1967168) an</w:t>
      </w:r>
      <w:r w:rsidR="00F43272">
        <w:t>d in Room 220N, 2555 Shumard Oa</w:t>
      </w:r>
      <w:r w:rsidR="002363CA">
        <w:t xml:space="preserve">k Boulevard, Tallahassee, </w:t>
      </w:r>
      <w:r w:rsidR="00F43272">
        <w:t>Florida</w:t>
      </w:r>
      <w:r w:rsidR="002363CA">
        <w:t xml:space="preserve"> to review, discuss and provide recommendations regarding comments submitted on the first draft of the “Energy Simulation Tool - Technical Assistance Manual”</w:t>
      </w:r>
    </w:p>
    <w:p w:rsidR="002B0DFC" w:rsidRDefault="002B0DFC" w:rsidP="005C5CFC">
      <w:pPr>
        <w:pStyle w:val="BlockText"/>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383EFB" w:rsidRPr="00BB3CE8" w:rsidRDefault="0098369B" w:rsidP="00011776">
      <w:pPr>
        <w:pStyle w:val="BlockText"/>
        <w:numPr>
          <w:ilvl w:val="0"/>
          <w:numId w:val="30"/>
        </w:numPr>
      </w:pPr>
      <w:r w:rsidRPr="0098369B">
        <w:rPr>
          <w:b/>
        </w:rPr>
        <w:t>Health</w:t>
      </w:r>
      <w:r w:rsidR="00CA1872">
        <w:t>: Water Qualit</w:t>
      </w:r>
      <w:r w:rsidR="00383EFB">
        <w:t>y/Septic Tanks</w:t>
      </w:r>
      <w:r w:rsidR="00D9771C">
        <w:t xml:space="preserve"> – Chapter 381</w:t>
      </w:r>
      <w:r w:rsidR="00383EFB">
        <w:t xml:space="preserve"> and 64E</w:t>
      </w:r>
      <w:r w:rsidR="002E2A6D">
        <w:t xml:space="preserve"> FAC:</w:t>
      </w:r>
      <w:r w:rsidR="00221AAE">
        <w:t xml:space="preserve"> None of the various bills filed for consideration during the 2011 regular legislative session, repealing the inspection and repair requirements enacted in 2010, passed</w:t>
      </w:r>
      <w:r w:rsidR="00221AAE" w:rsidRPr="00BB3CE8">
        <w:t>.</w:t>
      </w:r>
      <w:r w:rsidR="002B0DFC" w:rsidRPr="00BB3CE8">
        <w:t xml:space="preserve"> However, lan</w:t>
      </w:r>
      <w:r w:rsidR="00016A29" w:rsidRPr="00BB3CE8">
        <w:t xml:space="preserve">guage was included in the budget implementing bill </w:t>
      </w:r>
      <w:r w:rsidR="00BB3CE8">
        <w:t xml:space="preserve">for 2011-2012 </w:t>
      </w:r>
      <w:r w:rsidR="00016A29" w:rsidRPr="00BB3CE8">
        <w:t>that prohibits the Department of Health from expending any monies for the inspection program without first seeking and obtaining approval of the Legislative Budget Commission</w:t>
      </w:r>
      <w:r w:rsidR="0005012E" w:rsidRPr="00BB3CE8">
        <w:t>.</w:t>
      </w:r>
      <w:r w:rsidR="00222C12" w:rsidRPr="00BB3CE8">
        <w:t xml:space="preserve"> In addition, several bills have already been filed in the House and in the Senate for the 2012 legislative session to repeal the 2010 provisions.</w:t>
      </w:r>
    </w:p>
    <w:p w:rsidR="00227443" w:rsidRPr="00BB3CE8" w:rsidRDefault="00227443" w:rsidP="00227443">
      <w:pPr>
        <w:pStyle w:val="BlockText"/>
        <w:ind w:left="720"/>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222C12" w:rsidRPr="00016A29" w:rsidRDefault="00222C12" w:rsidP="00016A29">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2B0DFC" w:rsidRDefault="002B0DFC" w:rsidP="004A582F">
      <w:pPr>
        <w:pStyle w:val="BlockText"/>
        <w:rPr>
          <w:b/>
          <w:u w:val="single"/>
        </w:rPr>
      </w:pPr>
    </w:p>
    <w:p w:rsidR="009E489B" w:rsidRDefault="00CD02EB" w:rsidP="009E489B">
      <w:pPr>
        <w:pStyle w:val="BlockText"/>
      </w:pPr>
      <w:r w:rsidRPr="00CD02EB">
        <w:rPr>
          <w:b/>
          <w:u w:val="single"/>
        </w:rPr>
        <w:t>Legislative Action:</w:t>
      </w:r>
      <w:r w:rsidR="009E489B">
        <w:rPr>
          <w:b/>
          <w:u w:val="single"/>
        </w:rPr>
        <w:t xml:space="preserve"> </w:t>
      </w:r>
      <w:r w:rsidR="009E489B">
        <w:t>The following construction-related bills have been filed to date for consideration during the 2012 regular legislative session that begins January 10, 2012:</w:t>
      </w:r>
    </w:p>
    <w:tbl>
      <w:tblPr>
        <w:tblW w:w="4900" w:type="pct"/>
        <w:jc w:val="center"/>
        <w:tblCellSpacing w:w="0" w:type="dxa"/>
        <w:tblCellMar>
          <w:top w:w="15" w:type="dxa"/>
          <w:left w:w="15" w:type="dxa"/>
          <w:bottom w:w="15" w:type="dxa"/>
          <w:right w:w="15" w:type="dxa"/>
        </w:tblCellMar>
        <w:tblLook w:val="04A0"/>
      </w:tblPr>
      <w:tblGrid>
        <w:gridCol w:w="999"/>
        <w:gridCol w:w="4993"/>
        <w:gridCol w:w="1997"/>
        <w:gridCol w:w="1000"/>
        <w:gridCol w:w="101"/>
        <w:gridCol w:w="216"/>
        <w:gridCol w:w="89"/>
        <w:gridCol w:w="89"/>
      </w:tblGrid>
      <w:tr w:rsidR="009E489B" w:rsidTr="009E489B">
        <w:trPr>
          <w:tblCellSpacing w:w="0" w:type="dxa"/>
          <w:jc w:val="center"/>
        </w:trPr>
        <w:tc>
          <w:tcPr>
            <w:tcW w:w="0" w:type="auto"/>
            <w:gridSpan w:val="8"/>
            <w:vAlign w:val="center"/>
            <w:hideMark/>
          </w:tcPr>
          <w:tbl>
            <w:tblPr>
              <w:tblW w:w="5000" w:type="pct"/>
              <w:tblCellSpacing w:w="0" w:type="dxa"/>
              <w:tblCellMar>
                <w:top w:w="15" w:type="dxa"/>
                <w:left w:w="15" w:type="dxa"/>
                <w:bottom w:w="15" w:type="dxa"/>
                <w:right w:w="15" w:type="dxa"/>
              </w:tblCellMar>
              <w:tblLook w:val="04A0"/>
            </w:tblPr>
            <w:tblGrid>
              <w:gridCol w:w="8638"/>
              <w:gridCol w:w="816"/>
            </w:tblGrid>
            <w:tr w:rsidR="009E489B">
              <w:trPr>
                <w:tblCellSpacing w:w="0" w:type="dxa"/>
              </w:trPr>
              <w:tc>
                <w:tcPr>
                  <w:tcW w:w="0" w:type="auto"/>
                  <w:tcMar>
                    <w:top w:w="45" w:type="dxa"/>
                    <w:left w:w="75" w:type="dxa"/>
                    <w:bottom w:w="45" w:type="dxa"/>
                    <w:right w:w="75" w:type="dxa"/>
                  </w:tcMar>
                  <w:vAlign w:val="center"/>
                  <w:hideMark/>
                </w:tcPr>
                <w:p w:rsidR="009E489B" w:rsidRDefault="009E489B">
                  <w:pPr>
                    <w:rPr>
                      <w:rFonts w:ascii="Arial" w:hAnsi="Arial" w:cs="Arial"/>
                      <w:b/>
                      <w:bCs/>
                      <w:color w:val="FFFFFF"/>
                      <w:sz w:val="20"/>
                      <w:szCs w:val="20"/>
                    </w:rPr>
                  </w:pPr>
                  <w:r>
                    <w:rPr>
                      <w:rFonts w:ascii="Arial" w:hAnsi="Arial" w:cs="Arial"/>
                      <w:b/>
                      <w:bCs/>
                      <w:color w:val="FFFFFF"/>
                      <w:sz w:val="20"/>
                      <w:szCs w:val="20"/>
                    </w:rPr>
                    <w:t xml:space="preserve">  2012  Bills (13) </w:t>
                  </w:r>
                </w:p>
              </w:tc>
              <w:tc>
                <w:tcPr>
                  <w:tcW w:w="0" w:type="auto"/>
                  <w:tcMar>
                    <w:top w:w="45" w:type="dxa"/>
                    <w:left w:w="75" w:type="dxa"/>
                    <w:bottom w:w="45" w:type="dxa"/>
                    <w:right w:w="75" w:type="dxa"/>
                  </w:tcMar>
                  <w:vAlign w:val="center"/>
                  <w:hideMark/>
                </w:tcPr>
                <w:p w:rsidR="009E489B" w:rsidRDefault="009E489B">
                  <w:pPr>
                    <w:jc w:val="right"/>
                    <w:rPr>
                      <w:rFonts w:ascii="Arial" w:hAnsi="Arial" w:cs="Arial"/>
                      <w:b/>
                      <w:bCs/>
                      <w:color w:val="FFFFFF"/>
                      <w:sz w:val="20"/>
                      <w:szCs w:val="20"/>
                    </w:rPr>
                  </w:pPr>
                </w:p>
              </w:tc>
            </w:tr>
          </w:tbl>
          <w:p w:rsidR="009E489B" w:rsidRDefault="009E489B">
            <w:pPr>
              <w:rPr>
                <w:rFonts w:ascii="Arial" w:hAnsi="Arial" w:cs="Arial"/>
                <w:sz w:val="20"/>
                <w:szCs w:val="20"/>
              </w:rPr>
            </w:pPr>
          </w:p>
        </w:tc>
      </w:tr>
      <w:tr w:rsidR="009E489B" w:rsidTr="009E489B">
        <w:trPr>
          <w:tblCellSpacing w:w="0" w:type="dxa"/>
          <w:jc w:val="center"/>
        </w:trPr>
        <w:tc>
          <w:tcPr>
            <w:tcW w:w="500" w:type="pct"/>
            <w:vAlign w:val="center"/>
            <w:hideMark/>
          </w:tcPr>
          <w:p w:rsidR="009E489B" w:rsidRDefault="009E489B">
            <w:pPr>
              <w:rPr>
                <w:rFonts w:ascii="Arial" w:hAnsi="Arial" w:cs="Arial"/>
                <w:b/>
                <w:bCs/>
                <w:color w:val="000000"/>
                <w:sz w:val="20"/>
                <w:szCs w:val="20"/>
              </w:rPr>
            </w:pPr>
            <w:r>
              <w:rPr>
                <w:rFonts w:ascii="Arial" w:hAnsi="Arial" w:cs="Arial"/>
                <w:b/>
                <w:bCs/>
                <w:color w:val="000000"/>
                <w:sz w:val="20"/>
                <w:szCs w:val="20"/>
              </w:rPr>
              <w:t>Num</w:t>
            </w:r>
          </w:p>
        </w:tc>
        <w:tc>
          <w:tcPr>
            <w:tcW w:w="2500" w:type="pct"/>
            <w:vAlign w:val="center"/>
            <w:hideMark/>
          </w:tcPr>
          <w:p w:rsidR="009E489B" w:rsidRDefault="009E489B">
            <w:pPr>
              <w:rPr>
                <w:rFonts w:ascii="Arial" w:hAnsi="Arial" w:cs="Arial"/>
                <w:b/>
                <w:bCs/>
                <w:color w:val="000000"/>
                <w:sz w:val="20"/>
                <w:szCs w:val="20"/>
              </w:rPr>
            </w:pPr>
            <w:r>
              <w:rPr>
                <w:rFonts w:ascii="Arial" w:hAnsi="Arial" w:cs="Arial"/>
                <w:b/>
                <w:bCs/>
                <w:color w:val="000000"/>
                <w:sz w:val="20"/>
                <w:szCs w:val="20"/>
              </w:rPr>
              <w:t>Title</w:t>
            </w:r>
          </w:p>
        </w:tc>
        <w:tc>
          <w:tcPr>
            <w:tcW w:w="1000" w:type="pct"/>
            <w:vAlign w:val="center"/>
            <w:hideMark/>
          </w:tcPr>
          <w:p w:rsidR="009E489B" w:rsidRDefault="009E489B">
            <w:pPr>
              <w:rPr>
                <w:rFonts w:ascii="Arial" w:hAnsi="Arial" w:cs="Arial"/>
                <w:b/>
                <w:bCs/>
                <w:color w:val="000000"/>
                <w:sz w:val="20"/>
                <w:szCs w:val="20"/>
              </w:rPr>
            </w:pPr>
            <w:r>
              <w:rPr>
                <w:rFonts w:ascii="Arial" w:hAnsi="Arial" w:cs="Arial"/>
                <w:b/>
                <w:bCs/>
                <w:color w:val="000000"/>
                <w:sz w:val="20"/>
                <w:szCs w:val="20"/>
              </w:rPr>
              <w:t>Sponsor</w:t>
            </w:r>
          </w:p>
        </w:tc>
        <w:tc>
          <w:tcPr>
            <w:tcW w:w="500" w:type="pct"/>
            <w:vAlign w:val="center"/>
            <w:hideMark/>
          </w:tcPr>
          <w:p w:rsidR="009E489B" w:rsidRDefault="009E489B">
            <w:pPr>
              <w:rPr>
                <w:rFonts w:ascii="Arial" w:hAnsi="Arial" w:cs="Arial"/>
                <w:b/>
                <w:bCs/>
                <w:color w:val="000000"/>
                <w:sz w:val="20"/>
                <w:szCs w:val="20"/>
              </w:rPr>
            </w:pPr>
            <w:r>
              <w:rPr>
                <w:rFonts w:ascii="Arial" w:hAnsi="Arial" w:cs="Arial"/>
                <w:b/>
                <w:bCs/>
                <w:color w:val="000000"/>
                <w:sz w:val="20"/>
                <w:szCs w:val="20"/>
              </w:rPr>
              <w:t> </w:t>
            </w:r>
          </w:p>
        </w:tc>
        <w:tc>
          <w:tcPr>
            <w:tcW w:w="50" w:type="pct"/>
            <w:vAlign w:val="center"/>
            <w:hideMark/>
          </w:tcPr>
          <w:p w:rsidR="009E489B" w:rsidRDefault="009E489B">
            <w:pPr>
              <w:rPr>
                <w:rFonts w:ascii="Arial" w:hAnsi="Arial" w:cs="Arial"/>
                <w:b/>
                <w:bCs/>
                <w:color w:val="000000"/>
                <w:sz w:val="20"/>
                <w:szCs w:val="20"/>
              </w:rPr>
            </w:pPr>
          </w:p>
        </w:tc>
        <w:tc>
          <w:tcPr>
            <w:tcW w:w="200" w:type="pct"/>
            <w:gridSpan w:val="3"/>
            <w:vAlign w:val="center"/>
            <w:hideMark/>
          </w:tcPr>
          <w:p w:rsidR="009E489B" w:rsidRDefault="009E489B">
            <w:pPr>
              <w:rPr>
                <w:rFonts w:ascii="Arial" w:hAnsi="Arial" w:cs="Arial"/>
                <w:b/>
                <w:bCs/>
                <w:color w:val="000000"/>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7" w:history="1">
              <w:r w:rsidR="009E489B">
                <w:rPr>
                  <w:rStyle w:val="Hyperlink"/>
                  <w:rFonts w:ascii="Arial" w:hAnsi="Arial" w:cs="Arial"/>
                  <w:sz w:val="20"/>
                  <w:szCs w:val="20"/>
                </w:rPr>
                <w:t>SB 0078</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Electrical Contracting</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8" w:history="1">
              <w:r w:rsidR="009E489B">
                <w:rPr>
                  <w:rStyle w:val="Hyperlink"/>
                  <w:rFonts w:ascii="Arial" w:hAnsi="Arial" w:cs="Arial"/>
                  <w:sz w:val="20"/>
                  <w:szCs w:val="20"/>
                </w:rPr>
                <w:t>Wise</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09/21/11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Electrical Contracting; Revising the authority of municipalities and counties to require that certain electrical journeyman be present on certain industrial or commercial construction sites, etc.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08/30/11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09/21/11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Regulated Industries; Community Affairs</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9" w:history="1">
              <w:r w:rsidR="009E489B">
                <w:rPr>
                  <w:rStyle w:val="Hyperlink"/>
                  <w:rFonts w:ascii="Arial" w:hAnsi="Arial" w:cs="Arial"/>
                  <w:sz w:val="20"/>
                  <w:szCs w:val="20"/>
                </w:rPr>
                <w:t>HB 0079</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10" w:history="1">
              <w:r w:rsidR="009E489B">
                <w:rPr>
                  <w:rStyle w:val="Hyperlink"/>
                  <w:rFonts w:ascii="Arial" w:hAnsi="Arial" w:cs="Arial"/>
                  <w:sz w:val="20"/>
                  <w:szCs w:val="20"/>
                </w:rPr>
                <w:t>Coley</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09/15/11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1" w:history="1">
              <w:r>
                <w:rPr>
                  <w:rStyle w:val="Hyperlink"/>
                  <w:rFonts w:ascii="Arial" w:hAnsi="Arial" w:cs="Arial"/>
                  <w:sz w:val="15"/>
                  <w:szCs w:val="15"/>
                </w:rPr>
                <w:t>0114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12" w:history="1">
              <w:r>
                <w:rPr>
                  <w:rStyle w:val="Hyperlink"/>
                  <w:rFonts w:ascii="Arial" w:hAnsi="Arial" w:cs="Arial"/>
                  <w:sz w:val="15"/>
                  <w:szCs w:val="15"/>
                </w:rPr>
                <w:t>0178</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Onsite Sewage Treatment and Disposal Systems: Revises legislative intent; eliminates provisions directing DOH to create &amp; administer statewide septic tank evaluation program; eliminates procedures &amp; criteria for evaluation program; terminates grant program for repair of onsite sewage treatment disposal systems identified pursuant to evaluation program, to conform; eliminates provisions authorizing DOH to collect evaluation report fee &amp; provisions relating to disposition of fee proceeds &amp; revenue-neutral fee schedule. Effective Date: upon becoming a law</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08/08/11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09/15/11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Referred to Agriculture &amp; Natural Resources Subcommittee; Health Care Appropriations Subcommittee; State Affairs 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09/15/11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Now in Agriculture &amp; Natural Resources Subcommittee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13" w:history="1">
              <w:r w:rsidR="009E489B">
                <w:rPr>
                  <w:rStyle w:val="Hyperlink"/>
                  <w:rFonts w:ascii="Arial" w:hAnsi="Arial" w:cs="Arial"/>
                  <w:sz w:val="20"/>
                  <w:szCs w:val="20"/>
                </w:rPr>
                <w:t>SB 0088</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Sovereignty Submerged Lands</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14" w:history="1">
              <w:r w:rsidR="009E489B">
                <w:rPr>
                  <w:rStyle w:val="Hyperlink"/>
                  <w:rFonts w:ascii="Arial" w:hAnsi="Arial" w:cs="Arial"/>
                  <w:sz w:val="20"/>
                  <w:szCs w:val="20"/>
                </w:rPr>
                <w:t>Latvala</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10/05/11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5" w:history="1">
              <w:r>
                <w:rPr>
                  <w:rStyle w:val="Hyperlink"/>
                  <w:rFonts w:ascii="Arial" w:hAnsi="Arial" w:cs="Arial"/>
                  <w:sz w:val="15"/>
                  <w:szCs w:val="15"/>
                </w:rPr>
                <w:t>0013</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Sovereignty Submerged Lands; Providing for the lease of sovereignty submerged lands for private residential single-family docks and piers, private residential multifamily docks and piers, and private residential multislip docks; providing for the term of the lease and lease fees; providing for inspection of such docks, piers, and related structures by the Department of Environmental Protection; clarifying the authority of the Board of Trustees of the Internal Improvement Trust Fund and the department to impose additional fees and requirements, etc. APPROPRIATION: $1,000,000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08/29/11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53"/>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09/08/11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Environmental Preservation and Conservation;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96"/>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09/26/11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On Committee agenda - Environmental Preservation and Conservation, 10/05/11, 10:45 am, 110 S</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96"/>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10/05/11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Favorable with 1 Amendment by Environmental Preservation and Conservation; 5 Yeas, 0 Nays</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16" w:history="1">
              <w:r w:rsidR="009E489B">
                <w:rPr>
                  <w:rStyle w:val="Hyperlink"/>
                  <w:rFonts w:ascii="Arial" w:hAnsi="Arial" w:cs="Arial"/>
                  <w:sz w:val="20"/>
                  <w:szCs w:val="20"/>
                </w:rPr>
                <w:t>SB 0114</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17" w:history="1">
              <w:r w:rsidR="009E489B">
                <w:rPr>
                  <w:rStyle w:val="Hyperlink"/>
                  <w:rFonts w:ascii="Arial" w:hAnsi="Arial" w:cs="Arial"/>
                  <w:sz w:val="20"/>
                  <w:szCs w:val="20"/>
                </w:rPr>
                <w:t>Evers</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09/08/11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8" w:history="1">
              <w:r>
                <w:rPr>
                  <w:rStyle w:val="Hyperlink"/>
                  <w:rFonts w:ascii="Arial" w:hAnsi="Arial" w:cs="Arial"/>
                  <w:sz w:val="15"/>
                  <w:szCs w:val="15"/>
                </w:rPr>
                <w:t>0115</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9" w:history="1">
              <w:r>
                <w:rPr>
                  <w:rStyle w:val="Hyperlink"/>
                  <w:rFonts w:ascii="Arial" w:hAnsi="Arial" w:cs="Arial"/>
                  <w:sz w:val="15"/>
                  <w:szCs w:val="15"/>
                </w:rPr>
                <w:t>0079</w:t>
              </w:r>
            </w:hyperlink>
            <w:r>
              <w:rPr>
                <w:rFonts w:ascii="Arial" w:hAnsi="Arial" w:cs="Arial"/>
                <w:sz w:val="15"/>
                <w:szCs w:val="15"/>
              </w:rPr>
              <w:t xml:space="preserve"> </w:t>
            </w:r>
            <w:hyperlink r:id="rId20" w:history="1">
              <w:r>
                <w:rPr>
                  <w:rStyle w:val="Hyperlink"/>
                  <w:rFonts w:ascii="Arial" w:hAnsi="Arial" w:cs="Arial"/>
                  <w:sz w:val="15"/>
                  <w:szCs w:val="15"/>
                </w:rPr>
                <w:t>0178</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Onsite Sewage Treatment and Disposal Systems; Deleting legislative intent relating to onsite sewage treatment and disposal systems; conforming a cross-reference; eliminating provisions directing the Department of Health to create and administer a statewide septic tank evaluation program; eliminating procedures and criteria for the evaluation program; deleting an obsolete reporting requirement; eliminating provisions authorizing the department to collect an evaluation report fee; eliminating provisions relating to disposition of fee proceeds and a revenue-neutral fee schedule; relating to the grant program for the repair of onsite sewage treatment disposal systems identified pursuant to the evaluation program, to conform. EFFECTIVE DATE: upon becoming a law</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08/29/11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09/08/11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21" w:history="1">
              <w:r w:rsidR="009E489B">
                <w:rPr>
                  <w:rStyle w:val="Hyperlink"/>
                  <w:rFonts w:ascii="Arial" w:hAnsi="Arial" w:cs="Arial"/>
                  <w:sz w:val="20"/>
                  <w:szCs w:val="20"/>
                </w:rPr>
                <w:t>SB 0132</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Trespassing</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22" w:history="1">
              <w:r w:rsidR="009E489B">
                <w:rPr>
                  <w:rStyle w:val="Hyperlink"/>
                  <w:rFonts w:ascii="Arial" w:hAnsi="Arial" w:cs="Arial"/>
                  <w:sz w:val="20"/>
                  <w:szCs w:val="20"/>
                </w:rPr>
                <w:t>Thrasher</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10/06/11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3" w:history="1">
              <w:r>
                <w:rPr>
                  <w:rStyle w:val="Hyperlink"/>
                  <w:rFonts w:ascii="Arial" w:hAnsi="Arial" w:cs="Arial"/>
                  <w:sz w:val="15"/>
                  <w:szCs w:val="15"/>
                </w:rPr>
                <w:t>0077</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Trespassing; Authorizing the use of purple paint marks to identify a "no trespassing" area; providing requirements for marks; requiring specified signage, etc.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08/29/11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95"/>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09/08/11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Environmental Preservation and Conservation; Criminal Justice;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09/21/11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Reference to Environmental Preservation and Conservation removed; Remaining references: Community Affairs; Criminal Justice;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68"/>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09/21/11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Now in Community Affairs</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10/06/11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On Committee agenda - Community Affairs, 10/19/11, 9:00 am, 412 K</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24" w:history="1">
              <w:r w:rsidR="009E489B">
                <w:rPr>
                  <w:rStyle w:val="Hyperlink"/>
                  <w:rFonts w:ascii="Arial" w:hAnsi="Arial" w:cs="Arial"/>
                  <w:sz w:val="20"/>
                  <w:szCs w:val="20"/>
                </w:rPr>
                <w:t>HB 0155</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Procurement of Professional Architectural, Engineering, Landscape Architectural, or Surveying and Mapping Services</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25" w:history="1">
              <w:r w:rsidR="009E489B">
                <w:rPr>
                  <w:rStyle w:val="Hyperlink"/>
                  <w:rFonts w:ascii="Arial" w:hAnsi="Arial" w:cs="Arial"/>
                  <w:sz w:val="20"/>
                  <w:szCs w:val="20"/>
                </w:rPr>
                <w:t>Costello</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10/03/11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6" w:history="1">
              <w:r>
                <w:rPr>
                  <w:rStyle w:val="Hyperlink"/>
                  <w:rFonts w:ascii="Arial" w:hAnsi="Arial" w:cs="Arial"/>
                  <w:sz w:val="15"/>
                  <w:szCs w:val="15"/>
                </w:rPr>
                <w:t>246</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Procurement of Professional Architectural, Engineering, Landscape Architectural, or Surveying and Mapping Services: Revises definition of "continuing contract" &amp; defines "best value selection"; clarifies provisions with respect to selection of firms by agency under competitive selection process; provides that agency has right to reject any or all submissions received in response to public announcement under competitive selection process; authorizes agency to award contracts to multiple firms under competitive negotiation process; provides for best value selection process; requires agencies to adopt rules governing use of such process; provides minimum requirements with respect to best value selection procedures.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09/19/11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2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Referred to Government Operations Subcommittee; Rulemaking &amp; Regulation Subcommittee; Government Operations Appropriations Subcommittee; State Affairs 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Now in Government Operations Subcommittee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27" w:history="1">
              <w:r w:rsidR="009E489B">
                <w:rPr>
                  <w:rStyle w:val="Hyperlink"/>
                  <w:rFonts w:ascii="Arial" w:hAnsi="Arial" w:cs="Arial"/>
                  <w:sz w:val="20"/>
                  <w:szCs w:val="20"/>
                </w:rPr>
                <w:t>SB 0178</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28" w:history="1">
              <w:r w:rsidR="009E489B">
                <w:rPr>
                  <w:rStyle w:val="Hyperlink"/>
                  <w:rFonts w:ascii="Arial" w:hAnsi="Arial" w:cs="Arial"/>
                  <w:sz w:val="20"/>
                  <w:szCs w:val="20"/>
                </w:rPr>
                <w:t>Lynn</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09/08/11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9" w:history="1">
              <w:r>
                <w:rPr>
                  <w:rStyle w:val="Hyperlink"/>
                  <w:rFonts w:ascii="Arial" w:hAnsi="Arial" w:cs="Arial"/>
                  <w:sz w:val="15"/>
                  <w:szCs w:val="15"/>
                </w:rPr>
                <w:t>0114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30" w:history="1">
              <w:r>
                <w:rPr>
                  <w:rStyle w:val="Hyperlink"/>
                  <w:rFonts w:ascii="Arial" w:hAnsi="Arial" w:cs="Arial"/>
                  <w:sz w:val="15"/>
                  <w:szCs w:val="15"/>
                </w:rPr>
                <w:t>0079</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Onsite Sewage Treatment and Disposal Systems; Eliminating provisions directing the Department of Health to create and administer a statewide septic tank evaluation program; eliminating procedures and criteria for the evaluation program; repealing a provision to terminate the grant program for repair of onsite sewage treatment disposal systems identified pursuant to the evaluation program, to conform; eliminating provisions authorizing the department to collect an evaluation report fee; eliminating provisions relating to disposition of fee proceeds and a revenue-neutral fee schedule, etc. EFFECTIVE DATE: upon becoming a law</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08/29/11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09/08/11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31" w:history="1">
              <w:r w:rsidR="009E489B">
                <w:rPr>
                  <w:rStyle w:val="Hyperlink"/>
                  <w:rFonts w:ascii="Arial" w:hAnsi="Arial" w:cs="Arial"/>
                  <w:sz w:val="20"/>
                  <w:szCs w:val="20"/>
                </w:rPr>
                <w:t>HB 0213</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Judicial Proceedings</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32" w:history="1">
              <w:r w:rsidR="009E489B">
                <w:rPr>
                  <w:rStyle w:val="Hyperlink"/>
                  <w:rFonts w:ascii="Arial" w:hAnsi="Arial" w:cs="Arial"/>
                  <w:sz w:val="20"/>
                  <w:szCs w:val="20"/>
                </w:rPr>
                <w:t>Passidomo</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09/26/11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Judicial Proceedings: Designates act "Florida Fair Foreclosure Act"; revises requirements for acknowledgement of satisfaction of mortgage, lien, or judgment; provides requirements for mortgage foreclosure complaints; requires party foreclosing on specified owner-occupied dwellings to provide specified notice; provides for finality of foreclosure; requires certain actions to set aside foreclosure to be treated as actions for money damages; provides requirements for preparation and recording of instrument acknowledging satisfaction; prohibits certain claims following foreclosure based on enforcement of lost, destroyed, or stolen note; provides requirements for deficiency decrees in foreclosures of certain occupied units; revises procedural provisions relating to foreclosure proceedings; provides for determination of reasonable attorney fees for foreclosing certain owner-occupied properties; provides for election by foreclosing lender to proceed without public sale in certain circumstances; provides for liability of persons wrongly claiming under lost, stolen, or destroyed notes; provides for sanctions for raising unsupported claims or defenses &amp; delay of litigation. Effective Date: October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09/26/11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33" w:history="1">
              <w:r w:rsidR="009E489B">
                <w:rPr>
                  <w:rStyle w:val="Hyperlink"/>
                  <w:rFonts w:ascii="Arial" w:hAnsi="Arial" w:cs="Arial"/>
                  <w:sz w:val="20"/>
                  <w:szCs w:val="20"/>
                </w:rPr>
                <w:t>SB 0214</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Workplace Safety</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34" w:history="1">
              <w:r w:rsidR="009E489B">
                <w:rPr>
                  <w:rStyle w:val="Hyperlink"/>
                  <w:rFonts w:ascii="Arial" w:hAnsi="Arial" w:cs="Arial"/>
                  <w:sz w:val="20"/>
                  <w:szCs w:val="20"/>
                </w:rPr>
                <w:t>Lynn</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09/21/11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Workplace Safety; Requiring public employers to submit by a certain date injury and illness data to the Division of Workers' Compensation in the Department of Financial Services using a specified form; requiring the division to compile data from the reports and make the data available on the department's website; requiring the employer to retain the reports for 7 years; requiring the division to establish a toll-free telephone number for public employees relating to workplace safety by a certain date; requiring the division to provide certain information on its website by a certain date; requiring all public employers to comply with certain federal Occupation Safety and Health Administration standards by a certain date; revising the annual report submitted by the department to include an analysis and summary on public employers' work-related injuries and workers' compensation claims; requiring the report to be provided to public employers and related officials, etc.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09/14/11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804"/>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09/21/11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Banking and Insurance; Community Affairs; Governmental Oversight and Accountability;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35" w:history="1">
              <w:r w:rsidR="009E489B">
                <w:rPr>
                  <w:rStyle w:val="Hyperlink"/>
                  <w:rFonts w:ascii="Arial" w:hAnsi="Arial" w:cs="Arial"/>
                  <w:sz w:val="20"/>
                  <w:szCs w:val="20"/>
                </w:rPr>
                <w:t>SB 0246</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Procurement of Professional Architectural, Engineering, Landscape Architectural, or Surveying and Mapping Services</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36" w:history="1">
              <w:r w:rsidR="009E489B">
                <w:rPr>
                  <w:rStyle w:val="Hyperlink"/>
                  <w:rFonts w:ascii="Arial" w:hAnsi="Arial" w:cs="Arial"/>
                  <w:sz w:val="20"/>
                  <w:szCs w:val="20"/>
                </w:rPr>
                <w:t>Bennett</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09/21/11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37" w:history="1">
              <w:r>
                <w:rPr>
                  <w:rStyle w:val="Hyperlink"/>
                  <w:rFonts w:ascii="Arial" w:hAnsi="Arial" w:cs="Arial"/>
                  <w:sz w:val="15"/>
                  <w:szCs w:val="15"/>
                </w:rPr>
                <w:t>0155</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Procurement of Professional Architectural, Engineering, Landscape Architectural, or Surveying and Mapping Services; Revising the definition of "continuing contract" and defining "best value selection"; clarifying provisions with respect to selection of firms by an agency under the competitive selection process; providing that an agency has the right to reject any or all submissions received in response to a public announcement under the competitive selection process; authorizing an agency to award contracts to multiple firms under the competitive negotiation process; providing for a best value selection process; requiring agencies to adopt rules governing the use of the process; providing minimum requirements with respect to best value selection procedures, etc.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09/14/11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3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09/21/11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Referred to Regulated Industries; Governmental Oversight and Accountability; Budget</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38" w:history="1">
              <w:r w:rsidR="009E489B">
                <w:rPr>
                  <w:rStyle w:val="Hyperlink"/>
                  <w:rFonts w:ascii="Arial" w:hAnsi="Arial" w:cs="Arial"/>
                  <w:sz w:val="20"/>
                  <w:szCs w:val="20"/>
                </w:rPr>
                <w:t>SB 0340</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Prohibited Discrimination</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39" w:history="1">
              <w:r w:rsidR="009E489B">
                <w:rPr>
                  <w:rStyle w:val="Hyperlink"/>
                  <w:rFonts w:ascii="Arial" w:hAnsi="Arial" w:cs="Arial"/>
                  <w:sz w:val="20"/>
                  <w:szCs w:val="20"/>
                </w:rPr>
                <w:t>Rich</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09/23/11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40" w:history="1">
              <w:r>
                <w:rPr>
                  <w:rStyle w:val="Hyperlink"/>
                  <w:rFonts w:ascii="Arial" w:hAnsi="Arial" w:cs="Arial"/>
                  <w:sz w:val="15"/>
                  <w:szCs w:val="15"/>
                </w:rPr>
                <w:t>0247</w:t>
              </w:r>
            </w:hyperlink>
            <w:r>
              <w:rPr>
                <w:rFonts w:ascii="Arial" w:hAnsi="Arial" w:cs="Arial"/>
                <w:sz w:val="15"/>
                <w:szCs w:val="15"/>
              </w:rPr>
              <w:t xml:space="preserve"> )</w:t>
            </w: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Prohibited Discrimination; Cites this act as the "Competitive Workforce Act;" revising provisions to include sexual orientation and gender identity or expression as impermissible grounds for discrimination; revising provisions to include sexual orientation and gender identity or expression as impermissible grounds for discrimination in public lodging establishments and public food service establishments, etc.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09/23/11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SENATE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41" w:history="1">
              <w:r w:rsidR="009E489B">
                <w:rPr>
                  <w:rStyle w:val="Hyperlink"/>
                  <w:rFonts w:ascii="Arial" w:hAnsi="Arial" w:cs="Arial"/>
                  <w:sz w:val="20"/>
                  <w:szCs w:val="20"/>
                </w:rPr>
                <w:t>HB 4033</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Contracting</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42" w:history="1">
              <w:r w:rsidR="009E489B">
                <w:rPr>
                  <w:rStyle w:val="Hyperlink"/>
                  <w:rFonts w:ascii="Arial" w:hAnsi="Arial" w:cs="Arial"/>
                  <w:sz w:val="20"/>
                  <w:szCs w:val="20"/>
                </w:rPr>
                <w:t>Plakon</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10/03/11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Contracting: Deletes requirements for Construction Industry Licensing Board &amp; Electrical Contractors' Licensing Board to appoint committees for joint meetings.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09/12/11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Filed</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4"/>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Referred to Business &amp; Consumer Affairs Subcommittee; Economic Affairs 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Now in Business &amp; Consumer Affairs Subcommittee</w:t>
                  </w:r>
                </w:p>
              </w:tc>
            </w:tr>
          </w:tbl>
          <w:p w:rsidR="009E489B" w:rsidRDefault="009E489B">
            <w:pPr>
              <w:rPr>
                <w:rFonts w:ascii="Arial" w:hAnsi="Arial" w:cs="Arial"/>
                <w:sz w:val="20"/>
                <w:szCs w:val="20"/>
              </w:rPr>
            </w:pPr>
          </w:p>
        </w:tc>
      </w:tr>
      <w:tr w:rsidR="009E489B" w:rsidTr="009E489B">
        <w:trPr>
          <w:tblCellSpacing w:w="0" w:type="dxa"/>
          <w:jc w:val="center"/>
        </w:trPr>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43" w:history="1">
              <w:r w:rsidR="009E489B">
                <w:rPr>
                  <w:rStyle w:val="Hyperlink"/>
                  <w:rFonts w:ascii="Arial" w:hAnsi="Arial" w:cs="Arial"/>
                  <w:sz w:val="20"/>
                  <w:szCs w:val="20"/>
                </w:rPr>
                <w:t>HB 4061</w:t>
              </w:r>
            </w:hyperlink>
          </w:p>
        </w:tc>
        <w:tc>
          <w:tcPr>
            <w:tcW w:w="0" w:type="auto"/>
            <w:tcBorders>
              <w:top w:val="single" w:sz="6" w:space="0" w:color="000000"/>
            </w:tcBorders>
            <w:shd w:val="clear" w:color="auto" w:fill="EEEEEE"/>
            <w:vAlign w:val="center"/>
            <w:hideMark/>
          </w:tcPr>
          <w:p w:rsidR="009E489B" w:rsidRDefault="009E489B">
            <w:pPr>
              <w:rPr>
                <w:rFonts w:ascii="Arial" w:hAnsi="Arial" w:cs="Arial"/>
                <w:b/>
                <w:bCs/>
                <w:sz w:val="20"/>
                <w:szCs w:val="20"/>
              </w:rPr>
            </w:pPr>
            <w:r>
              <w:rPr>
                <w:rFonts w:ascii="Arial" w:hAnsi="Arial" w:cs="Arial"/>
                <w:b/>
                <w:bCs/>
                <w:sz w:val="20"/>
                <w:szCs w:val="20"/>
              </w:rPr>
              <w:t>Relating to Uniform Home Grading Scale</w:t>
            </w:r>
          </w:p>
        </w:tc>
        <w:tc>
          <w:tcPr>
            <w:tcW w:w="0" w:type="auto"/>
            <w:tcBorders>
              <w:top w:val="single" w:sz="6" w:space="0" w:color="000000"/>
            </w:tcBorders>
            <w:shd w:val="clear" w:color="auto" w:fill="EEEEEE"/>
            <w:vAlign w:val="center"/>
            <w:hideMark/>
          </w:tcPr>
          <w:p w:rsidR="009E489B" w:rsidRDefault="0097662A">
            <w:pPr>
              <w:rPr>
                <w:rFonts w:ascii="Arial" w:hAnsi="Arial" w:cs="Arial"/>
                <w:sz w:val="20"/>
                <w:szCs w:val="20"/>
              </w:rPr>
            </w:pPr>
            <w:hyperlink r:id="rId44" w:history="1">
              <w:r w:rsidR="009E489B">
                <w:rPr>
                  <w:rStyle w:val="Hyperlink"/>
                  <w:rFonts w:ascii="Arial" w:hAnsi="Arial" w:cs="Arial"/>
                  <w:sz w:val="20"/>
                  <w:szCs w:val="20"/>
                </w:rPr>
                <w:t>Bernard</w:t>
              </w:r>
            </w:hyperlink>
            <w:r w:rsidR="009E489B">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10/03/11</w:t>
            </w: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9E489B" w:rsidRDefault="009E489B">
            <w:pPr>
              <w:jc w:val="center"/>
              <w:rPr>
                <w:rFonts w:ascii="Arial" w:hAnsi="Arial" w:cs="Arial"/>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15"/>
                <w:szCs w:val="15"/>
              </w:rPr>
            </w:pPr>
          </w:p>
        </w:tc>
        <w:tc>
          <w:tcPr>
            <w:tcW w:w="0" w:type="auto"/>
            <w:gridSpan w:val="6"/>
            <w:vAlign w:val="center"/>
            <w:hideMark/>
          </w:tcPr>
          <w:p w:rsidR="009E489B" w:rsidRDefault="009E489B">
            <w:pPr>
              <w:rPr>
                <w:rFonts w:ascii="Arial" w:hAnsi="Arial" w:cs="Arial"/>
                <w:sz w:val="15"/>
                <w:szCs w:val="15"/>
              </w:rPr>
            </w:pPr>
            <w:r>
              <w:rPr>
                <w:rFonts w:ascii="Arial" w:hAnsi="Arial" w:cs="Arial"/>
                <w:sz w:val="15"/>
                <w:szCs w:val="15"/>
              </w:rPr>
              <w:t>Uniform Home Grading Scale: Repeals provisions relating to required adoption by Financial Services Commission of uniform home grading scale to grade ability of home to withstand wind load from tropical storms or hurricanes. Effective Date: July 1, 2012</w:t>
            </w:r>
          </w:p>
        </w:tc>
        <w:tc>
          <w:tcPr>
            <w:tcW w:w="0" w:type="auto"/>
            <w:vAlign w:val="center"/>
            <w:hideMark/>
          </w:tcPr>
          <w:p w:rsidR="009E489B" w:rsidRDefault="009E489B">
            <w:pPr>
              <w:rPr>
                <w:sz w:val="20"/>
                <w:szCs w:val="20"/>
              </w:rPr>
            </w:pPr>
          </w:p>
        </w:tc>
      </w:tr>
      <w:tr w:rsidR="009E489B" w:rsidTr="009E489B">
        <w:trPr>
          <w:tblCellSpacing w:w="0" w:type="dxa"/>
          <w:jc w:val="center"/>
        </w:trPr>
        <w:tc>
          <w:tcPr>
            <w:tcW w:w="0" w:type="auto"/>
            <w:vAlign w:val="center"/>
            <w:hideMark/>
          </w:tcPr>
          <w:p w:rsidR="009E489B" w:rsidRDefault="009E489B">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9E489B">
              <w:trPr>
                <w:tblCellSpacing w:w="0" w:type="dxa"/>
              </w:trPr>
              <w:tc>
                <w:tcPr>
                  <w:tcW w:w="0" w:type="auto"/>
                  <w:hideMark/>
                </w:tcPr>
                <w:p w:rsidR="009E489B" w:rsidRDefault="009E489B">
                  <w:pPr>
                    <w:rPr>
                      <w:rFonts w:ascii="Arial" w:hAnsi="Arial" w:cs="Arial"/>
                      <w:sz w:val="15"/>
                      <w:szCs w:val="15"/>
                    </w:rPr>
                  </w:pPr>
                  <w:r>
                    <w:rPr>
                      <w:rFonts w:ascii="Arial" w:hAnsi="Arial" w:cs="Arial"/>
                      <w:sz w:val="15"/>
                      <w:szCs w:val="15"/>
                    </w:rPr>
                    <w:t>10/03/11 </w:t>
                  </w:r>
                </w:p>
              </w:tc>
              <w:tc>
                <w:tcPr>
                  <w:tcW w:w="0" w:type="auto"/>
                  <w:vAlign w:val="center"/>
                  <w:hideMark/>
                </w:tcPr>
                <w:p w:rsidR="009E489B" w:rsidRDefault="009E489B">
                  <w:pPr>
                    <w:rPr>
                      <w:rFonts w:ascii="Arial" w:hAnsi="Arial" w:cs="Arial"/>
                      <w:sz w:val="15"/>
                      <w:szCs w:val="15"/>
                    </w:rPr>
                  </w:pPr>
                  <w:r>
                    <w:rPr>
                      <w:rFonts w:ascii="Arial" w:hAnsi="Arial" w:cs="Arial"/>
                      <w:sz w:val="15"/>
                      <w:szCs w:val="15"/>
                    </w:rPr>
                    <w:t>HOUSE Filed</w:t>
                  </w:r>
                </w:p>
              </w:tc>
            </w:tr>
          </w:tbl>
          <w:p w:rsidR="009E489B" w:rsidRDefault="009E489B">
            <w:pPr>
              <w:rPr>
                <w:rFonts w:ascii="Arial" w:hAnsi="Arial" w:cs="Arial"/>
                <w:sz w:val="20"/>
                <w:szCs w:val="20"/>
              </w:rPr>
            </w:pPr>
          </w:p>
        </w:tc>
      </w:tr>
    </w:tbl>
    <w:p w:rsidR="009E489B" w:rsidRDefault="009E489B" w:rsidP="009E489B">
      <w:pPr>
        <w:pStyle w:val="BlockText"/>
      </w:pPr>
    </w:p>
    <w:tbl>
      <w:tblPr>
        <w:tblW w:w="4900" w:type="pct"/>
        <w:jc w:val="center"/>
        <w:tblCellSpacing w:w="0" w:type="dxa"/>
        <w:tblCellMar>
          <w:top w:w="15" w:type="dxa"/>
          <w:left w:w="15" w:type="dxa"/>
          <w:bottom w:w="15" w:type="dxa"/>
          <w:right w:w="15" w:type="dxa"/>
        </w:tblCellMar>
        <w:tblLook w:val="04A0"/>
      </w:tblPr>
      <w:tblGrid>
        <w:gridCol w:w="9484"/>
      </w:tblGrid>
      <w:tr w:rsidR="00B94BF6" w:rsidTr="00B94BF6">
        <w:trPr>
          <w:tblCellSpacing w:w="0"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4727"/>
              <w:gridCol w:w="4727"/>
            </w:tblGrid>
            <w:tr w:rsidR="00B94BF6">
              <w:trPr>
                <w:tblCellSpacing w:w="0" w:type="dxa"/>
              </w:trPr>
              <w:tc>
                <w:tcPr>
                  <w:tcW w:w="0" w:type="auto"/>
                  <w:tcMar>
                    <w:top w:w="45" w:type="dxa"/>
                    <w:left w:w="75" w:type="dxa"/>
                    <w:bottom w:w="45" w:type="dxa"/>
                    <w:right w:w="75" w:type="dxa"/>
                  </w:tcMar>
                  <w:vAlign w:val="center"/>
                  <w:hideMark/>
                </w:tcPr>
                <w:p w:rsidR="00B94BF6" w:rsidRDefault="00B94BF6" w:rsidP="00F21394">
                  <w:pPr>
                    <w:rPr>
                      <w:rFonts w:ascii="Arial" w:hAnsi="Arial" w:cs="Arial"/>
                      <w:b/>
                      <w:bCs/>
                      <w:color w:val="FFFFFF"/>
                      <w:sz w:val="20"/>
                      <w:szCs w:val="20"/>
                    </w:rPr>
                  </w:pPr>
                </w:p>
              </w:tc>
              <w:tc>
                <w:tcPr>
                  <w:tcW w:w="0" w:type="auto"/>
                  <w:tcMar>
                    <w:top w:w="45" w:type="dxa"/>
                    <w:left w:w="75" w:type="dxa"/>
                    <w:bottom w:w="45" w:type="dxa"/>
                    <w:right w:w="75" w:type="dxa"/>
                  </w:tcMar>
                  <w:vAlign w:val="center"/>
                  <w:hideMark/>
                </w:tcPr>
                <w:p w:rsidR="00B94BF6" w:rsidRDefault="00B94BF6">
                  <w:pPr>
                    <w:jc w:val="right"/>
                    <w:rPr>
                      <w:rFonts w:ascii="Arial" w:hAnsi="Arial" w:cs="Arial"/>
                      <w:b/>
                      <w:bCs/>
                      <w:color w:val="FFFFFF"/>
                      <w:sz w:val="20"/>
                      <w:szCs w:val="20"/>
                    </w:rPr>
                  </w:pPr>
                </w:p>
              </w:tc>
            </w:tr>
          </w:tbl>
          <w:p w:rsidR="00B94BF6" w:rsidRDefault="00B94BF6">
            <w:pPr>
              <w:rPr>
                <w:rFonts w:ascii="Arial" w:hAnsi="Arial" w:cs="Arial"/>
                <w:sz w:val="20"/>
                <w:szCs w:val="20"/>
              </w:rPr>
            </w:pPr>
          </w:p>
        </w:tc>
      </w:tr>
    </w:tbl>
    <w:p w:rsidR="000B76DD" w:rsidRDefault="000B76DD" w:rsidP="002C5E1D">
      <w:pPr>
        <w:pStyle w:val="BlockText"/>
      </w:pPr>
      <w:r>
        <w:t>Respectfully submitted,</w:t>
      </w:r>
    </w:p>
    <w:p w:rsidR="002C5E1D" w:rsidRDefault="00BB3CE8" w:rsidP="002C5E1D">
      <w:pPr>
        <w:pStyle w:val="BlockText"/>
      </w:pPr>
      <w:r>
        <w:t>October 10</w:t>
      </w:r>
      <w:r w:rsidR="00D17EF8">
        <w:t>, 2011</w:t>
      </w:r>
    </w:p>
    <w:p w:rsidR="002C5E1D" w:rsidRDefault="002C5E1D" w:rsidP="002C5E1D">
      <w:pPr>
        <w:pStyle w:val="BlockText"/>
      </w:pPr>
    </w:p>
    <w:p w:rsidR="00251EB1" w:rsidRDefault="002C5E1D" w:rsidP="00F9535D">
      <w:pPr>
        <w:pStyle w:val="BlockText"/>
      </w:pPr>
      <w:r>
        <w:t>-end of report-</w:t>
      </w:r>
    </w:p>
    <w:sectPr w:rsidR="00251EB1" w:rsidSect="009A10B6">
      <w:headerReference w:type="even" r:id="rId45"/>
      <w:headerReference w:type="default" r:id="rId46"/>
      <w:footerReference w:type="even" r:id="rId47"/>
      <w:footerReference w:type="default" r:id="rId48"/>
      <w:headerReference w:type="first" r:id="rId49"/>
      <w:footerReference w:type="first" r:id="rId50"/>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AF7" w:rsidRDefault="001B2AF7" w:rsidP="009A2CBA">
      <w:r>
        <w:separator/>
      </w:r>
    </w:p>
  </w:endnote>
  <w:endnote w:type="continuationSeparator" w:id="0">
    <w:p w:rsidR="001B2AF7" w:rsidRDefault="001B2AF7"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08" w:rsidRDefault="00C833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F6" w:rsidRDefault="007755F6" w:rsidP="000421B5">
    <w:pPr>
      <w:pStyle w:val="Footer"/>
    </w:pPr>
    <w:r>
      <w:tab/>
    </w:r>
    <w:fldSimple w:instr=" PAGE   \* MERGEFORMAT ">
      <w:r w:rsidR="00F055D9">
        <w:rPr>
          <w:noProof/>
        </w:rPr>
        <w:t>2</w:t>
      </w:r>
    </w:fldSimple>
  </w:p>
  <w:p w:rsidR="007755F6" w:rsidRPr="00911FE4" w:rsidRDefault="00C83308" w:rsidP="000421B5">
    <w:pPr>
      <w:pStyle w:val="Footer"/>
      <w:rPr>
        <w:rStyle w:val="DocID"/>
      </w:rPr>
    </w:pPr>
    <w:r w:rsidRPr="00C83308">
      <w:rPr>
        <w:rStyle w:val="DocID"/>
      </w:rPr>
      <w:t>#9764699_v1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5F6" w:rsidRPr="00911FE4" w:rsidRDefault="0097662A" w:rsidP="000421B5">
    <w:pPr>
      <w:pStyle w:val="Footer"/>
      <w:rPr>
        <w:rStyle w:val="DocID"/>
      </w:rPr>
    </w:pPr>
    <w:r>
      <w:rPr>
        <w:sz w:val="20"/>
      </w:rPr>
      <w:fldChar w:fldCharType="begin"/>
    </w:r>
    <w:r w:rsidR="007755F6">
      <w:rPr>
        <w:sz w:val="20"/>
      </w:rPr>
      <w:instrText xml:space="preserve"> If </w:instrText>
    </w:r>
    <w:r>
      <w:rPr>
        <w:sz w:val="20"/>
      </w:rPr>
      <w:fldChar w:fldCharType="begin"/>
    </w:r>
    <w:r w:rsidR="007755F6">
      <w:rPr>
        <w:sz w:val="20"/>
      </w:rPr>
      <w:instrText xml:space="preserve"> numpages </w:instrText>
    </w:r>
    <w:r>
      <w:rPr>
        <w:sz w:val="20"/>
      </w:rPr>
      <w:fldChar w:fldCharType="separate"/>
    </w:r>
    <w:r w:rsidR="00F055D9">
      <w:rPr>
        <w:noProof/>
        <w:sz w:val="20"/>
      </w:rPr>
      <w:instrText>1</w:instrText>
    </w:r>
    <w:r>
      <w:rPr>
        <w:sz w:val="20"/>
      </w:rPr>
      <w:fldChar w:fldCharType="end"/>
    </w:r>
    <w:r w:rsidR="007755F6">
      <w:rPr>
        <w:sz w:val="20"/>
      </w:rPr>
      <w:instrText xml:space="preserve"> = 1 </w:instrText>
    </w:r>
    <w:r w:rsidR="007755F6" w:rsidRPr="00F4233A">
      <w:rPr>
        <w:rStyle w:val="DocID"/>
      </w:rPr>
      <w:instrText>#9751992_v1</w:instrText>
    </w:r>
    <w:r w:rsidR="007755F6">
      <w:instrText xml:space="preserve"> ""</w:instrText>
    </w:r>
    <w:r w:rsidR="007755F6">
      <w:rPr>
        <w:sz w:val="20"/>
      </w:rPr>
      <w:instrText xml:space="preserve"> </w:instrText>
    </w:r>
    <w:r w:rsidR="00F055D9">
      <w:rPr>
        <w:sz w:val="20"/>
      </w:rPr>
      <w:fldChar w:fldCharType="separate"/>
    </w:r>
    <w:r w:rsidR="00F055D9" w:rsidRPr="00F4233A">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AF7" w:rsidRDefault="001B2AF7" w:rsidP="009A2CBA">
      <w:r>
        <w:separator/>
      </w:r>
    </w:p>
  </w:footnote>
  <w:footnote w:type="continuationSeparator" w:id="0">
    <w:p w:rsidR="001B2AF7" w:rsidRDefault="001B2AF7" w:rsidP="009A2CBA">
      <w:r>
        <w:continuationSeparator/>
      </w:r>
    </w:p>
  </w:footnote>
  <w:footnote w:id="1">
    <w:p w:rsidR="007755F6" w:rsidRDefault="007755F6"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7755F6" w:rsidRDefault="007755F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08" w:rsidRDefault="00C833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08" w:rsidRDefault="00C833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08" w:rsidRDefault="00C833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50E0A57"/>
    <w:multiLevelType w:val="hybridMultilevel"/>
    <w:tmpl w:val="6D1642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0"/>
  </w:num>
  <w:num w:numId="4">
    <w:abstractNumId w:val="10"/>
  </w:num>
  <w:num w:numId="5">
    <w:abstractNumId w:val="36"/>
  </w:num>
  <w:num w:numId="6">
    <w:abstractNumId w:val="29"/>
  </w:num>
  <w:num w:numId="7">
    <w:abstractNumId w:val="27"/>
  </w:num>
  <w:num w:numId="8">
    <w:abstractNumId w:val="44"/>
  </w:num>
  <w:num w:numId="9">
    <w:abstractNumId w:val="28"/>
  </w:num>
  <w:num w:numId="10">
    <w:abstractNumId w:val="6"/>
  </w:num>
  <w:num w:numId="11">
    <w:abstractNumId w:val="5"/>
  </w:num>
  <w:num w:numId="12">
    <w:abstractNumId w:val="8"/>
  </w:num>
  <w:num w:numId="13">
    <w:abstractNumId w:val="18"/>
  </w:num>
  <w:num w:numId="14">
    <w:abstractNumId w:val="35"/>
  </w:num>
  <w:num w:numId="15">
    <w:abstractNumId w:val="40"/>
  </w:num>
  <w:num w:numId="16">
    <w:abstractNumId w:val="42"/>
  </w:num>
  <w:num w:numId="17">
    <w:abstractNumId w:val="31"/>
  </w:num>
  <w:num w:numId="18">
    <w:abstractNumId w:val="9"/>
  </w:num>
  <w:num w:numId="19">
    <w:abstractNumId w:val="38"/>
  </w:num>
  <w:num w:numId="20">
    <w:abstractNumId w:val="43"/>
  </w:num>
  <w:num w:numId="21">
    <w:abstractNumId w:val="30"/>
  </w:num>
  <w:num w:numId="22">
    <w:abstractNumId w:val="45"/>
  </w:num>
  <w:num w:numId="23">
    <w:abstractNumId w:val="12"/>
  </w:num>
  <w:num w:numId="24">
    <w:abstractNumId w:val="11"/>
  </w:num>
  <w:num w:numId="25">
    <w:abstractNumId w:val="15"/>
  </w:num>
  <w:num w:numId="26">
    <w:abstractNumId w:val="3"/>
  </w:num>
  <w:num w:numId="27">
    <w:abstractNumId w:val="1"/>
  </w:num>
  <w:num w:numId="28">
    <w:abstractNumId w:val="21"/>
  </w:num>
  <w:num w:numId="29">
    <w:abstractNumId w:val="22"/>
  </w:num>
  <w:num w:numId="30">
    <w:abstractNumId w:val="7"/>
  </w:num>
  <w:num w:numId="31">
    <w:abstractNumId w:val="17"/>
  </w:num>
  <w:num w:numId="32">
    <w:abstractNumId w:val="20"/>
  </w:num>
  <w:num w:numId="33">
    <w:abstractNumId w:val="26"/>
  </w:num>
  <w:num w:numId="34">
    <w:abstractNumId w:val="16"/>
  </w:num>
  <w:num w:numId="35">
    <w:abstractNumId w:val="24"/>
  </w:num>
  <w:num w:numId="36">
    <w:abstractNumId w:val="23"/>
  </w:num>
  <w:num w:numId="37">
    <w:abstractNumId w:val="37"/>
  </w:num>
  <w:num w:numId="38">
    <w:abstractNumId w:val="41"/>
  </w:num>
  <w:num w:numId="39">
    <w:abstractNumId w:val="39"/>
  </w:num>
  <w:num w:numId="40">
    <w:abstractNumId w:val="34"/>
  </w:num>
  <w:num w:numId="41">
    <w:abstractNumId w:val="32"/>
  </w:num>
  <w:num w:numId="42">
    <w:abstractNumId w:val="13"/>
  </w:num>
  <w:num w:numId="43">
    <w:abstractNumId w:val="25"/>
  </w:num>
  <w:num w:numId="44">
    <w:abstractNumId w:val="19"/>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docVars>
    <w:docVar w:name="LegacyDocIDRemoved" w:val="True"/>
  </w:docVars>
  <w:rsids>
    <w:rsidRoot w:val="00D8155F"/>
    <w:rsid w:val="00011776"/>
    <w:rsid w:val="00016A29"/>
    <w:rsid w:val="00027FC3"/>
    <w:rsid w:val="000302BC"/>
    <w:rsid w:val="000421B5"/>
    <w:rsid w:val="0005012E"/>
    <w:rsid w:val="00084298"/>
    <w:rsid w:val="000A4BA4"/>
    <w:rsid w:val="000B76DD"/>
    <w:rsid w:val="000D2555"/>
    <w:rsid w:val="000F6911"/>
    <w:rsid w:val="00100E22"/>
    <w:rsid w:val="00110D3B"/>
    <w:rsid w:val="001114F7"/>
    <w:rsid w:val="001148B5"/>
    <w:rsid w:val="001156AF"/>
    <w:rsid w:val="00117544"/>
    <w:rsid w:val="00126ABD"/>
    <w:rsid w:val="00146E4E"/>
    <w:rsid w:val="001476D7"/>
    <w:rsid w:val="00151F43"/>
    <w:rsid w:val="00172C04"/>
    <w:rsid w:val="00175923"/>
    <w:rsid w:val="0019065B"/>
    <w:rsid w:val="001963BC"/>
    <w:rsid w:val="001B11FD"/>
    <w:rsid w:val="001B2AF7"/>
    <w:rsid w:val="001B73F6"/>
    <w:rsid w:val="001D1B70"/>
    <w:rsid w:val="001D50A8"/>
    <w:rsid w:val="001E327E"/>
    <w:rsid w:val="001F18CD"/>
    <w:rsid w:val="001F7DB9"/>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30F7"/>
    <w:rsid w:val="002857BE"/>
    <w:rsid w:val="00286558"/>
    <w:rsid w:val="00294F80"/>
    <w:rsid w:val="002A4DD8"/>
    <w:rsid w:val="002B0DFC"/>
    <w:rsid w:val="002B3E98"/>
    <w:rsid w:val="002C378F"/>
    <w:rsid w:val="002C5E1D"/>
    <w:rsid w:val="002D4362"/>
    <w:rsid w:val="002E2A6D"/>
    <w:rsid w:val="00305D83"/>
    <w:rsid w:val="00305FDE"/>
    <w:rsid w:val="00311BC1"/>
    <w:rsid w:val="003134D3"/>
    <w:rsid w:val="0032598E"/>
    <w:rsid w:val="003319A7"/>
    <w:rsid w:val="003376F7"/>
    <w:rsid w:val="00340637"/>
    <w:rsid w:val="00340740"/>
    <w:rsid w:val="00345235"/>
    <w:rsid w:val="003473F4"/>
    <w:rsid w:val="00383EFB"/>
    <w:rsid w:val="003A1E91"/>
    <w:rsid w:val="003A33A5"/>
    <w:rsid w:val="003A4FB0"/>
    <w:rsid w:val="003C09F0"/>
    <w:rsid w:val="003D34DF"/>
    <w:rsid w:val="003E13A7"/>
    <w:rsid w:val="00416C25"/>
    <w:rsid w:val="004200FB"/>
    <w:rsid w:val="00465432"/>
    <w:rsid w:val="00484B9C"/>
    <w:rsid w:val="004A451E"/>
    <w:rsid w:val="004A582F"/>
    <w:rsid w:val="004C63D8"/>
    <w:rsid w:val="004F3D87"/>
    <w:rsid w:val="00500503"/>
    <w:rsid w:val="00504537"/>
    <w:rsid w:val="00512724"/>
    <w:rsid w:val="005237C4"/>
    <w:rsid w:val="00535353"/>
    <w:rsid w:val="005463F4"/>
    <w:rsid w:val="005A61CC"/>
    <w:rsid w:val="005B212C"/>
    <w:rsid w:val="005C40F9"/>
    <w:rsid w:val="005C5CFC"/>
    <w:rsid w:val="005F1FB3"/>
    <w:rsid w:val="005F4A79"/>
    <w:rsid w:val="00600D46"/>
    <w:rsid w:val="00614279"/>
    <w:rsid w:val="0063517A"/>
    <w:rsid w:val="00667D54"/>
    <w:rsid w:val="00675E10"/>
    <w:rsid w:val="00685808"/>
    <w:rsid w:val="006A3A6B"/>
    <w:rsid w:val="006B1D63"/>
    <w:rsid w:val="006D3AD0"/>
    <w:rsid w:val="006E5C27"/>
    <w:rsid w:val="006F336C"/>
    <w:rsid w:val="007017B0"/>
    <w:rsid w:val="0070218E"/>
    <w:rsid w:val="007065A1"/>
    <w:rsid w:val="007150E1"/>
    <w:rsid w:val="00722B80"/>
    <w:rsid w:val="00774A2B"/>
    <w:rsid w:val="007755F6"/>
    <w:rsid w:val="00780CCE"/>
    <w:rsid w:val="00793514"/>
    <w:rsid w:val="007977D0"/>
    <w:rsid w:val="007A2C34"/>
    <w:rsid w:val="007A7335"/>
    <w:rsid w:val="007B455D"/>
    <w:rsid w:val="007E128E"/>
    <w:rsid w:val="00821688"/>
    <w:rsid w:val="008219AB"/>
    <w:rsid w:val="0082467E"/>
    <w:rsid w:val="008271F6"/>
    <w:rsid w:val="00832281"/>
    <w:rsid w:val="0083319A"/>
    <w:rsid w:val="00833649"/>
    <w:rsid w:val="00864F61"/>
    <w:rsid w:val="008667F9"/>
    <w:rsid w:val="00875906"/>
    <w:rsid w:val="00883771"/>
    <w:rsid w:val="0089089A"/>
    <w:rsid w:val="008A7FFE"/>
    <w:rsid w:val="008B10F9"/>
    <w:rsid w:val="008B6B8E"/>
    <w:rsid w:val="008B6F95"/>
    <w:rsid w:val="008C44B6"/>
    <w:rsid w:val="008C57F6"/>
    <w:rsid w:val="008C6567"/>
    <w:rsid w:val="0090334E"/>
    <w:rsid w:val="009037AF"/>
    <w:rsid w:val="00912B18"/>
    <w:rsid w:val="00933C83"/>
    <w:rsid w:val="00940408"/>
    <w:rsid w:val="00940447"/>
    <w:rsid w:val="009459C3"/>
    <w:rsid w:val="0095190E"/>
    <w:rsid w:val="00972224"/>
    <w:rsid w:val="0097662A"/>
    <w:rsid w:val="0098369B"/>
    <w:rsid w:val="00990086"/>
    <w:rsid w:val="00994DC4"/>
    <w:rsid w:val="009A1012"/>
    <w:rsid w:val="009A10B6"/>
    <w:rsid w:val="009A2CBA"/>
    <w:rsid w:val="009B472E"/>
    <w:rsid w:val="009B53D8"/>
    <w:rsid w:val="009C6F42"/>
    <w:rsid w:val="009E1F25"/>
    <w:rsid w:val="009E489B"/>
    <w:rsid w:val="009F3454"/>
    <w:rsid w:val="00A03908"/>
    <w:rsid w:val="00A24F93"/>
    <w:rsid w:val="00A413D5"/>
    <w:rsid w:val="00A47BAD"/>
    <w:rsid w:val="00A47D5F"/>
    <w:rsid w:val="00A52BEC"/>
    <w:rsid w:val="00A862A4"/>
    <w:rsid w:val="00A92BA2"/>
    <w:rsid w:val="00AA49B9"/>
    <w:rsid w:val="00AB6124"/>
    <w:rsid w:val="00AB7A77"/>
    <w:rsid w:val="00AD19E4"/>
    <w:rsid w:val="00AD3673"/>
    <w:rsid w:val="00AD4A48"/>
    <w:rsid w:val="00AE40E2"/>
    <w:rsid w:val="00AE4928"/>
    <w:rsid w:val="00B11BE8"/>
    <w:rsid w:val="00B1354A"/>
    <w:rsid w:val="00B43413"/>
    <w:rsid w:val="00B51352"/>
    <w:rsid w:val="00B51F07"/>
    <w:rsid w:val="00B55AA9"/>
    <w:rsid w:val="00B605B3"/>
    <w:rsid w:val="00B6409D"/>
    <w:rsid w:val="00B65A78"/>
    <w:rsid w:val="00B75D21"/>
    <w:rsid w:val="00B82F44"/>
    <w:rsid w:val="00B854DA"/>
    <w:rsid w:val="00B94BF6"/>
    <w:rsid w:val="00BB3CE8"/>
    <w:rsid w:val="00BB43FD"/>
    <w:rsid w:val="00BC3ED9"/>
    <w:rsid w:val="00BD0579"/>
    <w:rsid w:val="00BF5744"/>
    <w:rsid w:val="00C0615F"/>
    <w:rsid w:val="00C10FB4"/>
    <w:rsid w:val="00C15A97"/>
    <w:rsid w:val="00C17A11"/>
    <w:rsid w:val="00C41104"/>
    <w:rsid w:val="00C42CAD"/>
    <w:rsid w:val="00C46B9E"/>
    <w:rsid w:val="00C527C3"/>
    <w:rsid w:val="00C552DE"/>
    <w:rsid w:val="00C613B0"/>
    <w:rsid w:val="00C666BD"/>
    <w:rsid w:val="00C71560"/>
    <w:rsid w:val="00C80F74"/>
    <w:rsid w:val="00C83308"/>
    <w:rsid w:val="00C8621F"/>
    <w:rsid w:val="00CA1872"/>
    <w:rsid w:val="00CA1D5A"/>
    <w:rsid w:val="00CB393B"/>
    <w:rsid w:val="00CD02EB"/>
    <w:rsid w:val="00CF2384"/>
    <w:rsid w:val="00CF7C33"/>
    <w:rsid w:val="00D17EF8"/>
    <w:rsid w:val="00D31E05"/>
    <w:rsid w:val="00D42313"/>
    <w:rsid w:val="00D45220"/>
    <w:rsid w:val="00D51EF8"/>
    <w:rsid w:val="00D532DF"/>
    <w:rsid w:val="00D5683A"/>
    <w:rsid w:val="00D6075F"/>
    <w:rsid w:val="00D64A8A"/>
    <w:rsid w:val="00D8155F"/>
    <w:rsid w:val="00D92897"/>
    <w:rsid w:val="00D9771C"/>
    <w:rsid w:val="00D97BF8"/>
    <w:rsid w:val="00DA5E85"/>
    <w:rsid w:val="00DB1B72"/>
    <w:rsid w:val="00DD18B8"/>
    <w:rsid w:val="00DD5BF9"/>
    <w:rsid w:val="00DD760C"/>
    <w:rsid w:val="00DE0FB7"/>
    <w:rsid w:val="00DE3DD6"/>
    <w:rsid w:val="00DE517B"/>
    <w:rsid w:val="00DE5A5D"/>
    <w:rsid w:val="00DF4C21"/>
    <w:rsid w:val="00E10E84"/>
    <w:rsid w:val="00E311DC"/>
    <w:rsid w:val="00E3534A"/>
    <w:rsid w:val="00E4444A"/>
    <w:rsid w:val="00E95DE1"/>
    <w:rsid w:val="00E97E26"/>
    <w:rsid w:val="00EA3A1A"/>
    <w:rsid w:val="00EB0314"/>
    <w:rsid w:val="00EB2DD7"/>
    <w:rsid w:val="00EB56F6"/>
    <w:rsid w:val="00EC3C0E"/>
    <w:rsid w:val="00EF1953"/>
    <w:rsid w:val="00EF2D9E"/>
    <w:rsid w:val="00EF3BC8"/>
    <w:rsid w:val="00F003DC"/>
    <w:rsid w:val="00F023FE"/>
    <w:rsid w:val="00F055D9"/>
    <w:rsid w:val="00F0773C"/>
    <w:rsid w:val="00F10ABD"/>
    <w:rsid w:val="00F15B84"/>
    <w:rsid w:val="00F21394"/>
    <w:rsid w:val="00F33F66"/>
    <w:rsid w:val="00F4233A"/>
    <w:rsid w:val="00F43272"/>
    <w:rsid w:val="00F52831"/>
    <w:rsid w:val="00F53B73"/>
    <w:rsid w:val="00F53D3E"/>
    <w:rsid w:val="00F61714"/>
    <w:rsid w:val="00F7015E"/>
    <w:rsid w:val="00F828AE"/>
    <w:rsid w:val="00F85ED6"/>
    <w:rsid w:val="00F9398C"/>
    <w:rsid w:val="00F9535D"/>
    <w:rsid w:val="00F97BF7"/>
    <w:rsid w:val="00FA2710"/>
    <w:rsid w:val="00FB554A"/>
    <w:rsid w:val="00FB588A"/>
    <w:rsid w:val="00FC0694"/>
    <w:rsid w:val="00FC6F29"/>
    <w:rsid w:val="00FD1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 Type="http://schemas.openxmlformats.org/officeDocument/2006/relationships/settings" Target="settings.xml"/><Relationship Id="rId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9" Type="http://schemas.openxmlformats.org/officeDocument/2006/relationships/header" Target="header3.xml"/><Relationship Id="rId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8" Type="http://schemas.openxmlformats.org/officeDocument/2006/relationships/footer" Target="footer2.xml"/><Relationship Id="rId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3</Pages>
  <Words>2525</Words>
  <Characters>15388</Characters>
  <Application>Microsoft Office Word</Application>
  <DocSecurity>0</DocSecurity>
  <Lines>485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_</cp:lastModifiedBy>
  <cp:revision>2</cp:revision>
  <cp:lastPrinted>2011-10-09T20:36:00Z</cp:lastPrinted>
  <dcterms:created xsi:type="dcterms:W3CDTF">2011-10-09T20:40:00Z</dcterms:created>
  <dcterms:modified xsi:type="dcterms:W3CDTF">2011-10-09T20:40:00Z</dcterms:modified>
  <cp:category/>
</cp:coreProperties>
</file>