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F9535D" w:rsidRPr="00B82F44" w:rsidRDefault="00F9535D" w:rsidP="00D8155F">
      <w:pPr>
        <w:pStyle w:val="BlockText"/>
        <w:jc w:val="center"/>
        <w:rPr>
          <w:b/>
          <w:sz w:val="28"/>
          <w:szCs w:val="28"/>
        </w:rPr>
      </w:pPr>
      <w:r w:rsidRPr="00B82F44">
        <w:rPr>
          <w:b/>
          <w:sz w:val="28"/>
          <w:szCs w:val="28"/>
        </w:rPr>
        <w:t>Construction Law Committee</w:t>
      </w:r>
    </w:p>
    <w:p w:rsidR="009A10B6" w:rsidRDefault="009A10B6" w:rsidP="00D8155F">
      <w:pPr>
        <w:pStyle w:val="BlockText"/>
        <w:jc w:val="center"/>
        <w:rPr>
          <w:b/>
        </w:rPr>
      </w:pPr>
    </w:p>
    <w:p w:rsidR="009E1F25" w:rsidRPr="001476D7" w:rsidRDefault="009E1F25" w:rsidP="00D8155F">
      <w:pPr>
        <w:pStyle w:val="BlockText"/>
        <w:jc w:val="center"/>
        <w:rPr>
          <w:b/>
        </w:rPr>
      </w:pPr>
    </w:p>
    <w:p w:rsidR="00F9535D" w:rsidRPr="001476D7" w:rsidRDefault="00DE5A5D" w:rsidP="00D8155F">
      <w:pPr>
        <w:pStyle w:val="BlockText"/>
        <w:jc w:val="center"/>
        <w:rPr>
          <w:b/>
          <w:i/>
          <w:u w:val="single"/>
        </w:rPr>
      </w:pPr>
      <w:r>
        <w:rPr>
          <w:b/>
          <w:i/>
          <w:u w:val="single"/>
        </w:rPr>
        <w:t>Construction Regulation</w:t>
      </w:r>
      <w:r w:rsidR="00F9535D" w:rsidRPr="001476D7">
        <w:rPr>
          <w:b/>
          <w:i/>
          <w:u w:val="single"/>
        </w:rPr>
        <w:t xml:space="preserve"> Subcommittee</w:t>
      </w:r>
      <w:r w:rsidR="00251EB1" w:rsidRPr="001476D7">
        <w:rPr>
          <w:b/>
          <w:i/>
          <w:u w:val="single"/>
        </w:rPr>
        <w:t xml:space="preserve"> Monthly Report</w:t>
      </w:r>
    </w:p>
    <w:p w:rsidR="00F9535D" w:rsidRDefault="001476D7" w:rsidP="00D8155F">
      <w:pPr>
        <w:pStyle w:val="BlockText"/>
        <w:jc w:val="center"/>
      </w:pPr>
      <w:r>
        <w:t>Month of</w:t>
      </w:r>
      <w:r w:rsidR="009459C3">
        <w:t>: September</w:t>
      </w:r>
      <w:r w:rsidR="004A582F">
        <w:t xml:space="preserve"> 2011</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B43413" w:rsidRDefault="00B43413" w:rsidP="00D9771C">
      <w:pPr>
        <w:pStyle w:val="BlockText"/>
        <w:rPr>
          <w:b/>
          <w:u w:val="single"/>
        </w:rPr>
      </w:pPr>
    </w:p>
    <w:p w:rsidR="00D51EF8" w:rsidRDefault="00B43413" w:rsidP="009459C3">
      <w:pPr>
        <w:pStyle w:val="BlockText"/>
      </w:pPr>
      <w:r>
        <w:tab/>
      </w:r>
      <w:r w:rsidR="00100E22" w:rsidRPr="00100E22">
        <w:rPr>
          <w:i/>
          <w:u w:val="single"/>
        </w:rPr>
        <w:t>Wilshire Insurance Company v. Birch Crest Apartments, Inc.,</w:t>
      </w:r>
      <w:r w:rsidR="00100E22">
        <w:t xml:space="preserve"> 4</w:t>
      </w:r>
      <w:r w:rsidR="00100E22" w:rsidRPr="00100E22">
        <w:rPr>
          <w:vertAlign w:val="superscript"/>
        </w:rPr>
        <w:t>th</w:t>
      </w:r>
      <w:r w:rsidR="00100E22">
        <w:t xml:space="preserve"> DCA Case No. 4D-10-5004, filed August 17, 2011: Exclusion provisions in commercial liability policy for “performing operations” and “your work,” were held applicable to paint splatter damages arising from painting subcontractor’s work, and case remanded to trial court for declaratory judgment in favor or insurer. Opinion also compares </w:t>
      </w:r>
      <w:r w:rsidR="00100E22" w:rsidRPr="00100E22">
        <w:rPr>
          <w:i/>
          <w:u w:val="single"/>
        </w:rPr>
        <w:t>American Equity Insurance Co. v. Van Ginhover</w:t>
      </w:r>
      <w:r w:rsidR="00100E22">
        <w:t>, 788 So.2d 388 (Fla. 5</w:t>
      </w:r>
      <w:r w:rsidR="00100E22" w:rsidRPr="00100E22">
        <w:rPr>
          <w:vertAlign w:val="superscript"/>
        </w:rPr>
        <w:t>th</w:t>
      </w:r>
      <w:r w:rsidR="00100E22">
        <w:t xml:space="preserve"> DCA 2001), regarding pool repairs that resulted in the pool popping out of the ground when emptied where policy coverage was denied,  and </w:t>
      </w:r>
      <w:r w:rsidR="00100E22" w:rsidRPr="00100E22">
        <w:rPr>
          <w:i/>
          <w:u w:val="single"/>
        </w:rPr>
        <w:t>Nova Casualty Co. v. Willis</w:t>
      </w:r>
      <w:r w:rsidR="00100E22">
        <w:t>, 39 So. 3d 434 (Fla. 3</w:t>
      </w:r>
      <w:r w:rsidR="00100E22" w:rsidRPr="00100E22">
        <w:rPr>
          <w:vertAlign w:val="superscript"/>
        </w:rPr>
        <w:t>rd</w:t>
      </w:r>
      <w:r w:rsidR="00100E22">
        <w:t xml:space="preserve"> DCA 2010), regarding tree trimming contractor who trimmed trees on adjoining property where policy coverage was found.</w:t>
      </w:r>
    </w:p>
    <w:p w:rsidR="00100E22" w:rsidRDefault="00100E22" w:rsidP="009459C3">
      <w:pPr>
        <w:pStyle w:val="BlockText"/>
      </w:pPr>
    </w:p>
    <w:p w:rsidR="00EF2D9E" w:rsidRDefault="00100E22" w:rsidP="009459C3">
      <w:pPr>
        <w:pStyle w:val="BlockText"/>
      </w:pPr>
      <w:r>
        <w:tab/>
      </w:r>
      <w:r w:rsidRPr="00100E22">
        <w:rPr>
          <w:i/>
          <w:u w:val="single"/>
        </w:rPr>
        <w:t>State Board of Administration v. Guy M. Burns, et. al</w:t>
      </w:r>
      <w:r>
        <w:t>., 1</w:t>
      </w:r>
      <w:r w:rsidRPr="00100E22">
        <w:rPr>
          <w:vertAlign w:val="superscript"/>
        </w:rPr>
        <w:t>st</w:t>
      </w:r>
      <w:r>
        <w:t xml:space="preserve"> DCA, Case No. 1D10-6572, filed August 23, 2011: </w:t>
      </w:r>
      <w:r w:rsidR="00EF2D9E">
        <w:t>Order compelling mandatory binding arbitration was reversed and case remanded where contract for contingent legal fees and costs provided for arbitration “[I]f the amount of fee is disputed…, ” since this provision did not provide for arbitration of “entitlement” to a fee. The court recited the matters a trial court must consider in a motion to compel arbitration: (1) whether a valid written agreement to arbitrate exists; (2) whether an arbitrable issue exists; and, (3) whether the right to arbitrate was waived.</w:t>
      </w:r>
    </w:p>
    <w:p w:rsidR="00EF2D9E" w:rsidRDefault="00EF2D9E" w:rsidP="009459C3">
      <w:pPr>
        <w:pStyle w:val="BlockText"/>
      </w:pPr>
    </w:p>
    <w:p w:rsidR="009E1F25" w:rsidRDefault="00EF2D9E" w:rsidP="00D9771C">
      <w:pPr>
        <w:pStyle w:val="BlockText"/>
      </w:pPr>
      <w:r>
        <w:tab/>
      </w:r>
      <w:r w:rsidRPr="00EF2D9E">
        <w:rPr>
          <w:i/>
          <w:u w:val="single"/>
        </w:rPr>
        <w:t>Glarum v. LaSalle Bank National Association</w:t>
      </w:r>
      <w:r>
        <w:t>, 4</w:t>
      </w:r>
      <w:r w:rsidRPr="00EF2D9E">
        <w:rPr>
          <w:vertAlign w:val="superscript"/>
        </w:rPr>
        <w:t>th</w:t>
      </w:r>
      <w:r>
        <w:t xml:space="preserve"> DCA Case No. 4D10-1372, filed September 7, 2011: Reversed summary judgment for foreclosure in favor of mortgage holder based on “inadmissible hearsay” under s. 90.803(6)(a), Florida Statutes, of an affidavit of amount due from officer of lender who did not have personal knowledge</w:t>
      </w:r>
      <w:r w:rsidR="00940447">
        <w:t xml:space="preserve"> of the information transmitted, nor whether the information had been kept in the ordinary course of regularly conducted business activity.</w:t>
      </w:r>
    </w:p>
    <w:p w:rsidR="00EF2D9E" w:rsidRDefault="00EF2D9E" w:rsidP="00D9771C">
      <w:pPr>
        <w:pStyle w:val="BlockText"/>
        <w:rPr>
          <w:b/>
          <w:u w:val="single"/>
        </w:rPr>
      </w:pPr>
    </w:p>
    <w:p w:rsidR="00D9771C" w:rsidRDefault="00D9771C" w:rsidP="00D9771C">
      <w:pPr>
        <w:pStyle w:val="BlockText"/>
      </w:pPr>
      <w:r w:rsidRPr="00D9771C">
        <w:rPr>
          <w:b/>
          <w:u w:val="single"/>
        </w:rPr>
        <w:t>DOAH Orders:</w:t>
      </w:r>
      <w:r w:rsidR="0083319A">
        <w:t xml:space="preserve"> </w:t>
      </w:r>
    </w:p>
    <w:p w:rsidR="00940447" w:rsidRDefault="00940447" w:rsidP="00D9771C">
      <w:pPr>
        <w:pStyle w:val="BlockText"/>
      </w:pPr>
    </w:p>
    <w:p w:rsidR="00940447" w:rsidRDefault="00940447" w:rsidP="00D9771C">
      <w:pPr>
        <w:pStyle w:val="BlockText"/>
      </w:pPr>
      <w:r>
        <w:tab/>
      </w:r>
      <w:r w:rsidRPr="00940447">
        <w:rPr>
          <w:i/>
          <w:u w:val="single"/>
        </w:rPr>
        <w:t>Todd P. Boetzel v. Department of Business and Professional Regulation</w:t>
      </w:r>
      <w:r>
        <w:t xml:space="preserve">, DOAH Case No 10-3325FC: A Final Order was issued on February 11, 2011, awarding attorney’s fees </w:t>
      </w:r>
      <w:r w:rsidR="00286558">
        <w:t>(102.2 hours at $300 per hour) and costs, totaling</w:t>
      </w:r>
      <w:r>
        <w:t xml:space="preserve"> $31,987.30 against the agency following a Final Order on December 22, 2008, in Case BRP-2008-09207, finding that Mr. Bo</w:t>
      </w:r>
      <w:r w:rsidR="00286558">
        <w:t>etzel and his company were NOT guilty</w:t>
      </w:r>
      <w:r>
        <w:t xml:space="preserve"> of the unlicensed practice of electrical contracting and landscape architecture based on a Recommended Order issued in DOAH Case No. 08-1603. </w:t>
      </w:r>
      <w:r w:rsidR="00222C12">
        <w:t xml:space="preserve">In this proceeding, the agency did not dispute most of the requirements of s. 57.111, Florida Statutes: that the amount of the fees and costs were reasonable; that Mr. Boetzel was the prevailing party; and that an award of fees would not be unjust; rather, the department maintained that it was “substantially justified” in bringing the underlying action against Mr. Boetzel, as the “exception” to an award of such statutory fees. </w:t>
      </w:r>
      <w:r w:rsidR="00286558">
        <w:t>In this case the Investigative Report did not contain sufficient information to make a determination that Mr. Boetzel had engaged in unlicensed activities, notwithstanding that he had filed a sworn Claim of Lien stating that he had furnished labor, services and materials consisting of landscaping, sod and irrigation to the property, but that the investigator could have easily obtained the necessary information but failed to do so.</w:t>
      </w:r>
    </w:p>
    <w:p w:rsidR="00286558" w:rsidRDefault="00286558" w:rsidP="00D9771C">
      <w:pPr>
        <w:pStyle w:val="BlockText"/>
      </w:pPr>
    </w:p>
    <w:p w:rsidR="00286558" w:rsidRDefault="00286558" w:rsidP="00D9771C">
      <w:pPr>
        <w:pStyle w:val="BlockText"/>
      </w:pPr>
      <w:r w:rsidRPr="00286558">
        <w:rPr>
          <w:b/>
          <w:u w:val="single"/>
        </w:rPr>
        <w:t>Editor’s Note:</w:t>
      </w:r>
      <w:r>
        <w:t xml:space="preserve"> This case is another example of a growing number of cases in which attorney’s fees and costs are being awarding against DBPR in disciplinary cases they have lost, and of the importance of making a timely claim for fees and costs where s. 57.111 is applicable. In addition, </w:t>
      </w:r>
      <w:r w:rsidR="00D532DF">
        <w:t xml:space="preserve">it’s important to note for such cases that </w:t>
      </w:r>
      <w:r>
        <w:t xml:space="preserve">the determination of whether a proceeding is “substantially justified” </w:t>
      </w:r>
      <w:r w:rsidR="00D532DF">
        <w:t xml:space="preserve">should be made by the agency </w:t>
      </w:r>
      <w:r>
        <w:t>as of the</w:t>
      </w:r>
      <w:r w:rsidR="00D532DF">
        <w:t xml:space="preserve"> time p</w:t>
      </w:r>
      <w:r>
        <w:t>robable cause</w:t>
      </w:r>
      <w:r w:rsidR="00D532DF">
        <w:t xml:space="preserve"> is determined</w:t>
      </w:r>
      <w:r w:rsidR="00C666BD">
        <w:t>, so it is a good idea to always order a copy of the PCP transcript.</w:t>
      </w:r>
    </w:p>
    <w:p w:rsidR="002C5E1D" w:rsidRDefault="002C5E1D" w:rsidP="00CF2384">
      <w:pPr>
        <w:pStyle w:val="BlockText"/>
      </w:pPr>
    </w:p>
    <w:p w:rsidR="00675E10" w:rsidRDefault="00675E10" w:rsidP="00F9535D">
      <w:pPr>
        <w:pStyle w:val="BlockText"/>
        <w:rPr>
          <w:b/>
          <w:u w:val="single"/>
        </w:rPr>
      </w:pPr>
    </w:p>
    <w:p w:rsidR="009E1F25" w:rsidRDefault="00D9771C" w:rsidP="00F9535D">
      <w:pPr>
        <w:pStyle w:val="BlockText"/>
        <w:rPr>
          <w:b/>
        </w:rPr>
      </w:pPr>
      <w:r w:rsidRPr="00D9771C">
        <w:rPr>
          <w:b/>
          <w:u w:val="single"/>
        </w:rPr>
        <w:t>Agency Actions:</w:t>
      </w:r>
      <w:r w:rsidR="00AE4928">
        <w:rPr>
          <w:b/>
        </w:rPr>
        <w:t xml:space="preserve"> </w:t>
      </w:r>
    </w:p>
    <w:p w:rsidR="00C666BD" w:rsidRDefault="00C666BD" w:rsidP="00F9535D">
      <w:pPr>
        <w:pStyle w:val="BlockText"/>
        <w:rPr>
          <w:b/>
        </w:rPr>
      </w:pPr>
    </w:p>
    <w:p w:rsidR="00D9771C" w:rsidRPr="00AE4928" w:rsidRDefault="00236AB0" w:rsidP="00F9535D">
      <w:pPr>
        <w:pStyle w:val="BlockText"/>
        <w:rPr>
          <w:b/>
        </w:rPr>
      </w:pPr>
      <w:r>
        <w:rPr>
          <w:b/>
        </w:rPr>
        <w:t>Note that state agencies are</w:t>
      </w:r>
      <w:r w:rsidR="00AE4928">
        <w:rPr>
          <w:b/>
        </w:rPr>
        <w:t xml:space="preserve"> beginning to </w:t>
      </w:r>
      <w:r>
        <w:rPr>
          <w:b/>
        </w:rPr>
        <w:t xml:space="preserve">again promulgate rules </w:t>
      </w:r>
      <w:r w:rsidR="00AE4928">
        <w:rPr>
          <w:b/>
        </w:rPr>
        <w:t>since the Governor’s Executive Order of January, 2011, “freezing” new rules</w:t>
      </w:r>
      <w:r>
        <w:rPr>
          <w:b/>
        </w:rPr>
        <w:t xml:space="preserve"> </w:t>
      </w:r>
      <w:r w:rsidR="009459C3" w:rsidRPr="009459C3">
        <w:rPr>
          <w:b/>
          <w:u w:val="single"/>
        </w:rPr>
        <w:t xml:space="preserve">has now been stricken down by the </w:t>
      </w:r>
      <w:r w:rsidR="00222C12" w:rsidRPr="009459C3">
        <w:rPr>
          <w:b/>
          <w:u w:val="single"/>
        </w:rPr>
        <w:t>Florida</w:t>
      </w:r>
      <w:r w:rsidR="009459C3" w:rsidRPr="009459C3">
        <w:rPr>
          <w:b/>
          <w:u w:val="single"/>
        </w:rPr>
        <w:t xml:space="preserve"> Supreme Court</w:t>
      </w:r>
      <w:r w:rsidR="009459C3">
        <w:rPr>
          <w:b/>
        </w:rPr>
        <w:t>.</w:t>
      </w:r>
      <w:r w:rsidR="009A1012">
        <w:rPr>
          <w:b/>
        </w:rPr>
        <w:t xml:space="preserve"> In addition, agencies and boards have now be requested to identify rules that are obsolete, unnecessary or provided for in federal rules, and to report all such rules to the Governor’s new Office of Economic Development; it is not yet clear if those rules will be repealed via the statutory rule-making process (Chapter 120) or presented to the 2012 legislature for statutory </w:t>
      </w:r>
      <w:r w:rsidR="00222C12">
        <w:rPr>
          <w:b/>
        </w:rPr>
        <w:t>repeal</w:t>
      </w:r>
      <w:r w:rsidR="009A1012">
        <w:rPr>
          <w:b/>
        </w:rPr>
        <w:t>.</w:t>
      </w:r>
    </w:p>
    <w:p w:rsidR="0098369B" w:rsidRDefault="0098369B"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F21394" w:rsidRDefault="00F9535D" w:rsidP="00F21394">
      <w:pPr>
        <w:pStyle w:val="BlockText"/>
        <w:numPr>
          <w:ilvl w:val="0"/>
          <w:numId w:val="32"/>
        </w:numPr>
      </w:pPr>
      <w:r w:rsidRPr="00F21394">
        <w:rPr>
          <w:u w:val="single"/>
        </w:rPr>
        <w:t>Constru</w:t>
      </w:r>
      <w:r w:rsidR="00CA1872" w:rsidRPr="00F21394">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305FDE">
        <w:t>:</w:t>
      </w:r>
      <w:r w:rsidR="00F21394">
        <w:t xml:space="preserve"> </w:t>
      </w:r>
    </w:p>
    <w:p w:rsidR="005B212C" w:rsidRPr="005B212C" w:rsidRDefault="005B212C" w:rsidP="005B212C">
      <w:pPr>
        <w:pStyle w:val="BlockText"/>
      </w:pPr>
    </w:p>
    <w:p w:rsidR="00F53D3E" w:rsidRDefault="00D532DF" w:rsidP="00D532DF">
      <w:pPr>
        <w:pStyle w:val="BlockText"/>
        <w:numPr>
          <w:ilvl w:val="1"/>
          <w:numId w:val="32"/>
        </w:numPr>
      </w:pPr>
      <w:r>
        <w:t>On August 5, 2011</w:t>
      </w:r>
      <w:r w:rsidR="00F53D3E">
        <w:t xml:space="preserve">, a petition for Declaratory Statement was filed by </w:t>
      </w:r>
      <w:r>
        <w:t>Holli Gorby</w:t>
      </w:r>
      <w:r w:rsidR="00F53D3E">
        <w:t xml:space="preserve">, seeking a determination of whether </w:t>
      </w:r>
      <w:r w:rsidR="00C666BD">
        <w:t>s.</w:t>
      </w:r>
      <w:r>
        <w:t>489.105(3) requires a s</w:t>
      </w:r>
      <w:r w:rsidR="00C666BD">
        <w:t>olar contractor’s license to SELL</w:t>
      </w:r>
      <w:r>
        <w:t xml:space="preserve"> solar hot water systems to home owners.</w:t>
      </w:r>
    </w:p>
    <w:p w:rsidR="00C666BD" w:rsidRDefault="00C666BD" w:rsidP="00C666BD">
      <w:pPr>
        <w:pStyle w:val="BlockText"/>
        <w:ind w:left="1800"/>
      </w:pPr>
    </w:p>
    <w:p w:rsidR="00C666BD" w:rsidRDefault="00C666BD" w:rsidP="00C666BD">
      <w:pPr>
        <w:pStyle w:val="BlockText"/>
        <w:numPr>
          <w:ilvl w:val="1"/>
          <w:numId w:val="32"/>
        </w:numPr>
      </w:pPr>
      <w:r>
        <w:t>Also on August 5, 2011, a petition for Declaratory Statement was filed by Jack Westenbarger, seeking a determination of whether s.489.105(3) requires a solar contractor’s license to SELL solar hot water systems to home owners.</w:t>
      </w:r>
    </w:p>
    <w:p w:rsidR="00C666BD" w:rsidRDefault="00C666BD" w:rsidP="00C666BD">
      <w:pPr>
        <w:pStyle w:val="BlockText"/>
        <w:ind w:left="1800"/>
      </w:pPr>
    </w:p>
    <w:p w:rsidR="00C666BD" w:rsidRDefault="00C666BD" w:rsidP="00C666BD">
      <w:pPr>
        <w:pStyle w:val="BlockText"/>
        <w:numPr>
          <w:ilvl w:val="1"/>
          <w:numId w:val="32"/>
        </w:numPr>
      </w:pPr>
      <w:r>
        <w:t xml:space="preserve">On August 8, 2011, a petition for Declaratory Statement was filed by Jeff Mahlstedt, seeking a determination of whether s.489.105(3) </w:t>
      </w:r>
      <w:r w:rsidR="00222C12">
        <w:t>licenses</w:t>
      </w:r>
      <w:r>
        <w:t xml:space="preserve"> to install nitrogen charged “dry”</w:t>
      </w:r>
      <w:r w:rsidR="009A1012">
        <w:t xml:space="preserve"> condensing</w:t>
      </w:r>
      <w:r>
        <w:t xml:space="preserve"> units.</w:t>
      </w:r>
    </w:p>
    <w:p w:rsidR="00C666BD" w:rsidRDefault="00C666BD" w:rsidP="00C666BD">
      <w:pPr>
        <w:pStyle w:val="BlockText"/>
      </w:pPr>
    </w:p>
    <w:p w:rsidR="00C666BD" w:rsidRDefault="00C666BD" w:rsidP="00C666BD">
      <w:pPr>
        <w:pStyle w:val="BlockText"/>
        <w:numPr>
          <w:ilvl w:val="1"/>
          <w:numId w:val="32"/>
        </w:numPr>
      </w:pPr>
      <w:r>
        <w:t>On July 27, 2011, a petition for Permanent Waiver or Variance was filed by Peter M. Belmore, regarding the application of Rule 61G4-14-16.005, FAC, limiting the period of four (4) years a passing grade is valid for purposes of certification.</w:t>
      </w:r>
    </w:p>
    <w:p w:rsidR="00C666BD" w:rsidRDefault="00C666BD" w:rsidP="00C666BD">
      <w:pPr>
        <w:pStyle w:val="BlockText"/>
      </w:pPr>
    </w:p>
    <w:p w:rsidR="00C666BD" w:rsidRDefault="00C666BD" w:rsidP="00C666BD">
      <w:pPr>
        <w:pStyle w:val="BlockText"/>
        <w:numPr>
          <w:ilvl w:val="1"/>
          <w:numId w:val="32"/>
        </w:numPr>
      </w:pPr>
      <w:r>
        <w:t>On August 11, 2011, a petition for Permanent Waiver or Variance was filed by Thomas Maloney, P.E., regarding the application of Rule 61G4-14-16.005, FAC, limiting the period of four (4) years a passing grade is valid for purposes of certification.</w:t>
      </w:r>
    </w:p>
    <w:p w:rsidR="00C666BD" w:rsidRDefault="00C666BD" w:rsidP="00C666BD">
      <w:pPr>
        <w:pStyle w:val="BlockText"/>
        <w:numPr>
          <w:ilvl w:val="1"/>
          <w:numId w:val="32"/>
        </w:numPr>
      </w:pPr>
      <w:r>
        <w:t>On August 16, 2011, a petition for Permanent Waiver or Variance was filed by Woodrow Mepham, regarding the application of Rule 61G4-14-16.005, FAC, limiting the period of four (4) years a passing grade is valid for purposes of certification.</w:t>
      </w:r>
    </w:p>
    <w:p w:rsidR="00F21394" w:rsidRDefault="00F21394" w:rsidP="009A1012"/>
    <w:p w:rsidR="00F10ABD" w:rsidRDefault="00F9535D" w:rsidP="007755F6">
      <w:pPr>
        <w:pStyle w:val="BlockText"/>
        <w:numPr>
          <w:ilvl w:val="0"/>
          <w:numId w:val="32"/>
        </w:numPr>
      </w:pPr>
      <w:r w:rsidRPr="007755F6">
        <w:rPr>
          <w:u w:val="single"/>
        </w:rPr>
        <w:t>Electric</w:t>
      </w:r>
      <w:r w:rsidR="00CA1872" w:rsidRPr="007755F6">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F10ABD" w:rsidRDefault="00F10ABD" w:rsidP="005B212C">
      <w:pPr>
        <w:pStyle w:val="BlockText"/>
        <w:ind w:left="1080"/>
      </w:pPr>
    </w:p>
    <w:p w:rsidR="005B212C" w:rsidRDefault="009A1012" w:rsidP="009A1012">
      <w:pPr>
        <w:pStyle w:val="ListParagraph"/>
        <w:ind w:left="1440"/>
      </w:pPr>
      <w:r>
        <w:t>(Nothing to report)</w:t>
      </w:r>
    </w:p>
    <w:p w:rsidR="00172C04" w:rsidRDefault="00172C04" w:rsidP="005B212C"/>
    <w:p w:rsidR="005B212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p>
    <w:p w:rsidR="009A1012" w:rsidRDefault="009A1012" w:rsidP="009A1012">
      <w:pPr>
        <w:pStyle w:val="BlockText"/>
        <w:ind w:left="720"/>
        <w:rPr>
          <w:u w:val="single"/>
        </w:rPr>
      </w:pPr>
    </w:p>
    <w:p w:rsidR="009A1012" w:rsidRDefault="009A1012" w:rsidP="009A1012">
      <w:pPr>
        <w:pStyle w:val="ListParagraph"/>
        <w:ind w:left="1440"/>
      </w:pPr>
      <w:r>
        <w:t>(Nothing to report)</w:t>
      </w:r>
    </w:p>
    <w:p w:rsidR="00CF2384" w:rsidRDefault="00CF2384" w:rsidP="00CF2384">
      <w:pPr>
        <w:pStyle w:val="BlockText"/>
        <w:ind w:left="720"/>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2E2A6D" w:rsidRDefault="002E2A6D" w:rsidP="00F10ABD">
      <w:pPr>
        <w:pStyle w:val="BlockText"/>
      </w:pPr>
    </w:p>
    <w:p w:rsidR="00305FDE" w:rsidRDefault="00EB56F6" w:rsidP="004200FB">
      <w:pPr>
        <w:pStyle w:val="ListParagraph"/>
        <w:ind w:left="1440"/>
      </w:pPr>
      <w:r>
        <w:t>(Nothing to report)</w:t>
      </w:r>
    </w:p>
    <w:p w:rsidR="002B3E98" w:rsidRDefault="002B3E98" w:rsidP="00172C04"/>
    <w:p w:rsidR="002B0DFC" w:rsidRDefault="00F9535D" w:rsidP="00D532DF">
      <w:pPr>
        <w:pStyle w:val="BlockText"/>
        <w:numPr>
          <w:ilvl w:val="0"/>
          <w:numId w:val="32"/>
        </w:numPr>
      </w:pPr>
      <w:r w:rsidRPr="00D42313">
        <w:rPr>
          <w:u w:val="single"/>
        </w:rPr>
        <w:lastRenderedPageBreak/>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9A1012" w:rsidRDefault="009A1012" w:rsidP="009A1012">
      <w:pPr>
        <w:pStyle w:val="BlockText"/>
        <w:ind w:left="1080"/>
      </w:pPr>
    </w:p>
    <w:p w:rsidR="009A1012" w:rsidRDefault="009A1012" w:rsidP="009A1012">
      <w:pPr>
        <w:pStyle w:val="BlockText"/>
        <w:numPr>
          <w:ilvl w:val="1"/>
          <w:numId w:val="32"/>
        </w:numPr>
      </w:pPr>
      <w:r>
        <w:t>The board proposes an amendment to Rule 61G15-21.001 to add new language to clarify the parts of the written examination and general requirements for taking the examination.</w:t>
      </w:r>
    </w:p>
    <w:p w:rsidR="009A1012" w:rsidRDefault="009A1012" w:rsidP="009A1012">
      <w:pPr>
        <w:pStyle w:val="BlockText"/>
        <w:ind w:left="1800"/>
      </w:pPr>
    </w:p>
    <w:p w:rsidR="009A1012" w:rsidRDefault="009A1012" w:rsidP="009A1012">
      <w:pPr>
        <w:pStyle w:val="BlockText"/>
        <w:numPr>
          <w:ilvl w:val="1"/>
          <w:numId w:val="32"/>
        </w:numPr>
        <w:ind w:left="1080"/>
      </w:pPr>
      <w:r>
        <w:t>The board proposes an amendment to Rule 61G15-23.001 to add new language to clarify seals acceptable to the board.</w:t>
      </w:r>
    </w:p>
    <w:p w:rsidR="00D532DF" w:rsidRDefault="00D532DF" w:rsidP="00D532DF">
      <w:pPr>
        <w:pStyle w:val="BlockText"/>
        <w:ind w:left="1080"/>
      </w:pPr>
    </w:p>
    <w:p w:rsidR="005C5CFC" w:rsidRDefault="00F9535D" w:rsidP="005C5CFC">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5C5CFC" w:rsidRDefault="005C5CFC" w:rsidP="005C5CFC">
      <w:pPr>
        <w:pStyle w:val="BlockText"/>
        <w:ind w:left="1440"/>
      </w:pPr>
    </w:p>
    <w:p w:rsidR="009A1012" w:rsidRDefault="009A1012" w:rsidP="005C5CFC">
      <w:pPr>
        <w:pStyle w:val="BlockText"/>
        <w:ind w:left="1440"/>
      </w:pPr>
      <w:r>
        <w:t>(Nothing to report)</w:t>
      </w:r>
    </w:p>
    <w:p w:rsidR="005C5CFC" w:rsidRPr="003134D3" w:rsidRDefault="005C5CFC" w:rsidP="005C5CFC">
      <w:pPr>
        <w:pStyle w:val="BlockText"/>
      </w:pPr>
    </w:p>
    <w:p w:rsidR="005C5CFC" w:rsidRDefault="0098369B" w:rsidP="009A1012">
      <w:pPr>
        <w:pStyle w:val="BlockText"/>
        <w:numPr>
          <w:ilvl w:val="0"/>
          <w:numId w:val="32"/>
        </w:numPr>
      </w:pPr>
      <w:r w:rsidRPr="00DA5E85">
        <w:rPr>
          <w:u w:val="single"/>
        </w:rPr>
        <w:t>Florida Building Commission</w:t>
      </w:r>
      <w:r w:rsidR="00EF1953">
        <w:rPr>
          <w:rStyle w:val="FootnoteReference"/>
          <w:u w:val="single"/>
        </w:rPr>
        <w:footnoteReference w:id="1"/>
      </w:r>
      <w:r w:rsidR="00CA1872">
        <w:t xml:space="preserve"> – C</w:t>
      </w:r>
      <w:r w:rsidR="00383EFB">
        <w:t>hapter 553, Part IV</w:t>
      </w:r>
      <w:r w:rsidR="002E2A6D">
        <w:t xml:space="preserve"> and 9N FAC:</w:t>
      </w:r>
      <w:r w:rsidR="009A1012">
        <w:t xml:space="preserve"> The commission’s education program oversight committee will meet on September 27, 2011, at 10 a.m. via phone conference (1-888-808-6959, code: 1967168) to discuss “accreditor” and “course” applications.</w:t>
      </w:r>
    </w:p>
    <w:p w:rsidR="002B0DFC" w:rsidRDefault="002B0DFC" w:rsidP="005C5CFC">
      <w:pPr>
        <w:pStyle w:val="BlockText"/>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383EFB" w:rsidRPr="00016A29" w:rsidRDefault="0098369B" w:rsidP="00011776">
      <w:pPr>
        <w:pStyle w:val="BlockText"/>
        <w:numPr>
          <w:ilvl w:val="0"/>
          <w:numId w:val="30"/>
        </w:numPr>
        <w:rPr>
          <w:b/>
          <w:u w:val="single"/>
        </w:rPr>
      </w:pPr>
      <w:r w:rsidRPr="0098369B">
        <w:rPr>
          <w:b/>
        </w:rPr>
        <w:t>Health</w:t>
      </w:r>
      <w:r w:rsidR="00CA1872">
        <w:t>: Water Qualit</w:t>
      </w:r>
      <w:r w:rsidR="00383EFB">
        <w:t>y/Septic Tanks</w:t>
      </w:r>
      <w:r w:rsidR="00D9771C">
        <w:t xml:space="preserve"> – Chapter 381</w:t>
      </w:r>
      <w:r w:rsidR="00383EFB">
        <w:t xml:space="preserve"> and 64E</w:t>
      </w:r>
      <w:r w:rsidR="002E2A6D">
        <w:t xml:space="preserve"> FAC:</w:t>
      </w:r>
      <w:r w:rsidR="00221AAE">
        <w:t xml:space="preserve"> None of the various bills filed for consideration during the 2011 regular legislative session, repealing the inspection and repair requirements enacted in 2010, passed.</w:t>
      </w:r>
      <w:r w:rsidR="002B0DFC">
        <w:t xml:space="preserve"> </w:t>
      </w:r>
      <w:r w:rsidR="002B0DFC" w:rsidRPr="00016A29">
        <w:rPr>
          <w:b/>
          <w:u w:val="single"/>
        </w:rPr>
        <w:t>However, lan</w:t>
      </w:r>
      <w:r w:rsidR="00016A29" w:rsidRPr="00016A29">
        <w:rPr>
          <w:b/>
          <w:u w:val="single"/>
        </w:rPr>
        <w:t>guage was included in the budget implementing bill that prohibits the Department of Health from expending any monies for the inspection program without first seeking and obtaining approval of the Legislative Budget Commission</w:t>
      </w:r>
      <w:r w:rsidR="0005012E" w:rsidRPr="00016A29">
        <w:rPr>
          <w:b/>
          <w:u w:val="single"/>
        </w:rPr>
        <w:t>.</w:t>
      </w:r>
      <w:r w:rsidR="00222C12">
        <w:rPr>
          <w:b/>
          <w:u w:val="single"/>
        </w:rPr>
        <w:t xml:space="preserve"> In addition, several bills have already been filed in the House and in the Senate for the 2012 legislative session to repeal the 2010 provisions.</w:t>
      </w:r>
    </w:p>
    <w:p w:rsidR="00227443" w:rsidRPr="002E2A6D" w:rsidRDefault="00227443" w:rsidP="00227443">
      <w:pPr>
        <w:pStyle w:val="BlockText"/>
        <w:ind w:left="720"/>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222C12" w:rsidRPr="00016A29" w:rsidRDefault="00222C12" w:rsidP="00016A29">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2B0DFC" w:rsidRDefault="002B0DFC" w:rsidP="004A582F">
      <w:pPr>
        <w:pStyle w:val="BlockText"/>
        <w:rPr>
          <w:b/>
          <w:u w:val="single"/>
        </w:rPr>
      </w:pPr>
    </w:p>
    <w:p w:rsidR="003134D3" w:rsidRDefault="00CD02EB" w:rsidP="004A582F">
      <w:pPr>
        <w:pStyle w:val="BlockText"/>
      </w:pPr>
      <w:r w:rsidRPr="00CD02EB">
        <w:rPr>
          <w:b/>
          <w:u w:val="single"/>
        </w:rPr>
        <w:t>Legislative Action:</w:t>
      </w:r>
    </w:p>
    <w:p w:rsidR="005C5CFC" w:rsidRDefault="005C5CFC" w:rsidP="004A582F">
      <w:pPr>
        <w:pStyle w:val="BlockText"/>
      </w:pPr>
    </w:p>
    <w:p w:rsidR="00016A29" w:rsidRDefault="005C5CFC" w:rsidP="00222C12">
      <w:pPr>
        <w:pStyle w:val="BlockText"/>
        <w:ind w:left="1440"/>
      </w:pPr>
      <w:r>
        <w:t xml:space="preserve">(Nothing </w:t>
      </w:r>
      <w:r w:rsidR="00222C12">
        <w:t xml:space="preserve">additional </w:t>
      </w:r>
      <w:r>
        <w:t>to report)</w:t>
      </w:r>
    </w:p>
    <w:tbl>
      <w:tblPr>
        <w:tblW w:w="4900" w:type="pct"/>
        <w:jc w:val="center"/>
        <w:tblCellSpacing w:w="0" w:type="dxa"/>
        <w:tblCellMar>
          <w:top w:w="15" w:type="dxa"/>
          <w:left w:w="15" w:type="dxa"/>
          <w:bottom w:w="15" w:type="dxa"/>
          <w:right w:w="15" w:type="dxa"/>
        </w:tblCellMar>
        <w:tblLook w:val="04A0"/>
      </w:tblPr>
      <w:tblGrid>
        <w:gridCol w:w="9484"/>
      </w:tblGrid>
      <w:tr w:rsidR="00B94BF6" w:rsidTr="00B94BF6">
        <w:trPr>
          <w:tblCellSpacing w:w="0"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5380"/>
              <w:gridCol w:w="4074"/>
            </w:tblGrid>
            <w:tr w:rsidR="00B94BF6">
              <w:trPr>
                <w:tblCellSpacing w:w="0" w:type="dxa"/>
              </w:trPr>
              <w:tc>
                <w:tcPr>
                  <w:tcW w:w="0" w:type="auto"/>
                  <w:tcMar>
                    <w:top w:w="45" w:type="dxa"/>
                    <w:left w:w="75" w:type="dxa"/>
                    <w:bottom w:w="45" w:type="dxa"/>
                    <w:right w:w="75" w:type="dxa"/>
                  </w:tcMar>
                  <w:vAlign w:val="center"/>
                  <w:hideMark/>
                </w:tcPr>
                <w:p w:rsidR="00B94BF6" w:rsidRDefault="00F21394" w:rsidP="00F21394">
                  <w:pPr>
                    <w:rPr>
                      <w:rFonts w:ascii="Arial" w:hAnsi="Arial" w:cs="Arial"/>
                      <w:b/>
                      <w:bCs/>
                      <w:color w:val="FFFFFF"/>
                      <w:sz w:val="20"/>
                      <w:szCs w:val="20"/>
                    </w:rPr>
                  </w:pPr>
                  <w:r>
                    <w:rPr>
                      <w:rFonts w:ascii="Arial" w:hAnsi="Arial" w:cs="Arial"/>
                      <w:b/>
                      <w:bCs/>
                      <w:color w:val="FFFFFF"/>
                      <w:sz w:val="20"/>
                      <w:szCs w:val="20"/>
                    </w:rPr>
                    <w:t> </w:t>
                  </w:r>
                </w:p>
              </w:tc>
              <w:tc>
                <w:tcPr>
                  <w:tcW w:w="0" w:type="auto"/>
                  <w:tcMar>
                    <w:top w:w="45" w:type="dxa"/>
                    <w:left w:w="75" w:type="dxa"/>
                    <w:bottom w:w="45" w:type="dxa"/>
                    <w:right w:w="75" w:type="dxa"/>
                  </w:tcMar>
                  <w:vAlign w:val="center"/>
                  <w:hideMark/>
                </w:tcPr>
                <w:p w:rsidR="00B94BF6" w:rsidRDefault="00B94BF6">
                  <w:pPr>
                    <w:jc w:val="right"/>
                    <w:rPr>
                      <w:rFonts w:ascii="Arial" w:hAnsi="Arial" w:cs="Arial"/>
                      <w:b/>
                      <w:bCs/>
                      <w:color w:val="FFFFFF"/>
                      <w:sz w:val="20"/>
                      <w:szCs w:val="20"/>
                    </w:rPr>
                  </w:pPr>
                </w:p>
              </w:tc>
            </w:tr>
          </w:tbl>
          <w:p w:rsidR="00B94BF6" w:rsidRDefault="00B94BF6">
            <w:pPr>
              <w:rPr>
                <w:rFonts w:ascii="Arial" w:hAnsi="Arial" w:cs="Arial"/>
                <w:sz w:val="20"/>
                <w:szCs w:val="20"/>
              </w:rPr>
            </w:pPr>
          </w:p>
        </w:tc>
      </w:tr>
    </w:tbl>
    <w:p w:rsidR="000B76DD" w:rsidRDefault="000B76DD" w:rsidP="002C5E1D">
      <w:pPr>
        <w:pStyle w:val="BlockText"/>
      </w:pPr>
      <w:r>
        <w:t>Respectfully submitted,</w:t>
      </w:r>
    </w:p>
    <w:p w:rsidR="002C5E1D" w:rsidRDefault="00D532DF" w:rsidP="002C5E1D">
      <w:pPr>
        <w:pStyle w:val="BlockText"/>
      </w:pPr>
      <w:r>
        <w:t>September 11</w:t>
      </w:r>
      <w:r w:rsidR="00D17EF8">
        <w:t>, 2011</w:t>
      </w:r>
    </w:p>
    <w:p w:rsidR="002C5E1D" w:rsidRDefault="002C5E1D" w:rsidP="002C5E1D">
      <w:pPr>
        <w:pStyle w:val="BlockText"/>
      </w:pPr>
    </w:p>
    <w:p w:rsidR="00251EB1" w:rsidRDefault="002C5E1D" w:rsidP="00F9535D">
      <w:pPr>
        <w:pStyle w:val="BlockText"/>
      </w:pPr>
      <w:r>
        <w:t>-end of report-</w:t>
      </w:r>
    </w:p>
    <w:sectPr w:rsidR="00251EB1" w:rsidSect="009A10B6">
      <w:footerReference w:type="default" r:id="rId7"/>
      <w:footerReference w:type="first" r:id="rId8"/>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3BD" w:rsidRDefault="00E273BD" w:rsidP="009A2CBA">
      <w:r>
        <w:separator/>
      </w:r>
    </w:p>
  </w:endnote>
  <w:endnote w:type="continuationSeparator" w:id="0">
    <w:p w:rsidR="00E273BD" w:rsidRDefault="00E273BD"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F6" w:rsidRDefault="007755F6" w:rsidP="000421B5">
    <w:pPr>
      <w:pStyle w:val="Footer"/>
    </w:pPr>
    <w:r>
      <w:tab/>
    </w:r>
    <w:fldSimple w:instr=" PAGE   \* MERGEFORMAT ">
      <w:r w:rsidR="00BB4C61">
        <w:rPr>
          <w:noProof/>
        </w:rPr>
        <w:t>4</w:t>
      </w:r>
    </w:fldSimple>
  </w:p>
  <w:p w:rsidR="007755F6" w:rsidRPr="00911FE4" w:rsidRDefault="00AD12F3" w:rsidP="000421B5">
    <w:pPr>
      <w:pStyle w:val="Footer"/>
      <w:rPr>
        <w:rStyle w:val="DocID"/>
      </w:rPr>
    </w:pPr>
    <w:r w:rsidRPr="00AD12F3">
      <w:rPr>
        <w:rStyle w:val="DocID"/>
      </w:rPr>
      <w:t>#9764699_v1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F6" w:rsidRPr="00911FE4" w:rsidRDefault="00733C7D" w:rsidP="000421B5">
    <w:pPr>
      <w:pStyle w:val="Footer"/>
      <w:rPr>
        <w:rStyle w:val="DocID"/>
      </w:rPr>
    </w:pPr>
    <w:r>
      <w:rPr>
        <w:sz w:val="20"/>
      </w:rPr>
      <w:fldChar w:fldCharType="begin"/>
    </w:r>
    <w:r w:rsidR="007755F6">
      <w:rPr>
        <w:sz w:val="20"/>
      </w:rPr>
      <w:instrText xml:space="preserve"> If </w:instrText>
    </w:r>
    <w:r>
      <w:rPr>
        <w:sz w:val="20"/>
      </w:rPr>
      <w:fldChar w:fldCharType="begin"/>
    </w:r>
    <w:r w:rsidR="007755F6">
      <w:rPr>
        <w:sz w:val="20"/>
      </w:rPr>
      <w:instrText xml:space="preserve"> numpages </w:instrText>
    </w:r>
    <w:r>
      <w:rPr>
        <w:sz w:val="20"/>
      </w:rPr>
      <w:fldChar w:fldCharType="separate"/>
    </w:r>
    <w:r w:rsidR="00BB4C61">
      <w:rPr>
        <w:noProof/>
        <w:sz w:val="20"/>
      </w:rPr>
      <w:instrText>4</w:instrText>
    </w:r>
    <w:r>
      <w:rPr>
        <w:sz w:val="20"/>
      </w:rPr>
      <w:fldChar w:fldCharType="end"/>
    </w:r>
    <w:r w:rsidR="007755F6">
      <w:rPr>
        <w:sz w:val="20"/>
      </w:rPr>
      <w:instrText xml:space="preserve"> = 1 </w:instrText>
    </w:r>
    <w:r w:rsidR="007755F6" w:rsidRPr="00F4233A">
      <w:rPr>
        <w:rStyle w:val="DocID"/>
      </w:rPr>
      <w:instrText>#9751992_v1</w:instrText>
    </w:r>
    <w:r w:rsidR="007755F6">
      <w:instrText xml:space="preserve"> ""</w:instrText>
    </w:r>
    <w:r w:rsidR="007755F6">
      <w:rPr>
        <w:sz w:val="20"/>
      </w:rPr>
      <w:instrText xml:space="preserve"> </w:instrTex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3BD" w:rsidRDefault="00E273BD" w:rsidP="009A2CBA">
      <w:r>
        <w:separator/>
      </w:r>
    </w:p>
  </w:footnote>
  <w:footnote w:type="continuationSeparator" w:id="0">
    <w:p w:rsidR="00E273BD" w:rsidRDefault="00E273BD" w:rsidP="009A2CBA">
      <w:r>
        <w:continuationSeparator/>
      </w:r>
    </w:p>
  </w:footnote>
  <w:footnote w:id="1">
    <w:p w:rsidR="007755F6" w:rsidRDefault="007755F6"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7755F6" w:rsidRDefault="007755F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6D1642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docVars>
    <w:docVar w:name="LegacyDocIDRemoved" w:val="True"/>
  </w:docVars>
  <w:rsids>
    <w:rsidRoot w:val="00D8155F"/>
    <w:rsid w:val="00011776"/>
    <w:rsid w:val="00016A29"/>
    <w:rsid w:val="00027FC3"/>
    <w:rsid w:val="000302BC"/>
    <w:rsid w:val="000421B5"/>
    <w:rsid w:val="0005012E"/>
    <w:rsid w:val="00084298"/>
    <w:rsid w:val="000A4BA4"/>
    <w:rsid w:val="000B76DD"/>
    <w:rsid w:val="000D2555"/>
    <w:rsid w:val="000F6911"/>
    <w:rsid w:val="00100E22"/>
    <w:rsid w:val="00110D3B"/>
    <w:rsid w:val="001114F7"/>
    <w:rsid w:val="001148B5"/>
    <w:rsid w:val="001156AF"/>
    <w:rsid w:val="00117544"/>
    <w:rsid w:val="00126ABD"/>
    <w:rsid w:val="00146E4E"/>
    <w:rsid w:val="001476D7"/>
    <w:rsid w:val="00151F43"/>
    <w:rsid w:val="00172C04"/>
    <w:rsid w:val="00175923"/>
    <w:rsid w:val="0019065B"/>
    <w:rsid w:val="001963BC"/>
    <w:rsid w:val="001B11FD"/>
    <w:rsid w:val="001B73F6"/>
    <w:rsid w:val="001D1B70"/>
    <w:rsid w:val="001D50A8"/>
    <w:rsid w:val="001E327E"/>
    <w:rsid w:val="001F18CD"/>
    <w:rsid w:val="001F7DB9"/>
    <w:rsid w:val="00221926"/>
    <w:rsid w:val="00221AAE"/>
    <w:rsid w:val="00222C12"/>
    <w:rsid w:val="002236E8"/>
    <w:rsid w:val="0022445A"/>
    <w:rsid w:val="00227443"/>
    <w:rsid w:val="002348A5"/>
    <w:rsid w:val="00236AB0"/>
    <w:rsid w:val="00237AEC"/>
    <w:rsid w:val="00243FF8"/>
    <w:rsid w:val="00246D22"/>
    <w:rsid w:val="00251EB1"/>
    <w:rsid w:val="00252DC4"/>
    <w:rsid w:val="002630F7"/>
    <w:rsid w:val="002857BE"/>
    <w:rsid w:val="00286558"/>
    <w:rsid w:val="00294F80"/>
    <w:rsid w:val="002A215F"/>
    <w:rsid w:val="002A4DD8"/>
    <w:rsid w:val="002B0DFC"/>
    <w:rsid w:val="002B3E98"/>
    <w:rsid w:val="002C378F"/>
    <w:rsid w:val="002C5E1D"/>
    <w:rsid w:val="002D4362"/>
    <w:rsid w:val="002E2A6D"/>
    <w:rsid w:val="00305D83"/>
    <w:rsid w:val="00305FDE"/>
    <w:rsid w:val="00311BC1"/>
    <w:rsid w:val="003134D3"/>
    <w:rsid w:val="0032598E"/>
    <w:rsid w:val="003319A7"/>
    <w:rsid w:val="003376F7"/>
    <w:rsid w:val="00340637"/>
    <w:rsid w:val="00340740"/>
    <w:rsid w:val="00345235"/>
    <w:rsid w:val="003473F4"/>
    <w:rsid w:val="00383EFB"/>
    <w:rsid w:val="003A1E91"/>
    <w:rsid w:val="003A33A5"/>
    <w:rsid w:val="003A4FB0"/>
    <w:rsid w:val="003C09F0"/>
    <w:rsid w:val="003D34DF"/>
    <w:rsid w:val="003E13A7"/>
    <w:rsid w:val="00416C25"/>
    <w:rsid w:val="004200FB"/>
    <w:rsid w:val="0044090F"/>
    <w:rsid w:val="00465432"/>
    <w:rsid w:val="00484B9C"/>
    <w:rsid w:val="004A451E"/>
    <w:rsid w:val="004A582F"/>
    <w:rsid w:val="004C63D8"/>
    <w:rsid w:val="004F3D87"/>
    <w:rsid w:val="00500503"/>
    <w:rsid w:val="00504537"/>
    <w:rsid w:val="00512724"/>
    <w:rsid w:val="005237C4"/>
    <w:rsid w:val="00535353"/>
    <w:rsid w:val="005463F4"/>
    <w:rsid w:val="005A61CC"/>
    <w:rsid w:val="005B212C"/>
    <w:rsid w:val="005C40F9"/>
    <w:rsid w:val="005C5CFC"/>
    <w:rsid w:val="005F1FB3"/>
    <w:rsid w:val="005F4A79"/>
    <w:rsid w:val="00600D46"/>
    <w:rsid w:val="00614279"/>
    <w:rsid w:val="0063517A"/>
    <w:rsid w:val="00667D54"/>
    <w:rsid w:val="00675E10"/>
    <w:rsid w:val="00685808"/>
    <w:rsid w:val="006A3A6B"/>
    <w:rsid w:val="006B1D63"/>
    <w:rsid w:val="006D3AD0"/>
    <w:rsid w:val="006E5C27"/>
    <w:rsid w:val="006F336C"/>
    <w:rsid w:val="007017B0"/>
    <w:rsid w:val="0070218E"/>
    <w:rsid w:val="007065A1"/>
    <w:rsid w:val="007150E1"/>
    <w:rsid w:val="00733C7D"/>
    <w:rsid w:val="00774A2B"/>
    <w:rsid w:val="007755F6"/>
    <w:rsid w:val="00780CCE"/>
    <w:rsid w:val="00793514"/>
    <w:rsid w:val="007977D0"/>
    <w:rsid w:val="007A2C34"/>
    <w:rsid w:val="007A7335"/>
    <w:rsid w:val="007B455D"/>
    <w:rsid w:val="007E128E"/>
    <w:rsid w:val="00821688"/>
    <w:rsid w:val="008219AB"/>
    <w:rsid w:val="0082467E"/>
    <w:rsid w:val="00832281"/>
    <w:rsid w:val="0083319A"/>
    <w:rsid w:val="00833649"/>
    <w:rsid w:val="00864F61"/>
    <w:rsid w:val="008667F9"/>
    <w:rsid w:val="00875906"/>
    <w:rsid w:val="00883771"/>
    <w:rsid w:val="0089089A"/>
    <w:rsid w:val="008A7FFE"/>
    <w:rsid w:val="008B10F9"/>
    <w:rsid w:val="008B6B8E"/>
    <w:rsid w:val="008B6F95"/>
    <w:rsid w:val="008C44B6"/>
    <w:rsid w:val="008C57F6"/>
    <w:rsid w:val="008C6567"/>
    <w:rsid w:val="0090334E"/>
    <w:rsid w:val="009037AF"/>
    <w:rsid w:val="00912B18"/>
    <w:rsid w:val="00933C83"/>
    <w:rsid w:val="00940447"/>
    <w:rsid w:val="009459C3"/>
    <w:rsid w:val="0095190E"/>
    <w:rsid w:val="00972224"/>
    <w:rsid w:val="0098369B"/>
    <w:rsid w:val="00990086"/>
    <w:rsid w:val="00994DC4"/>
    <w:rsid w:val="009A036B"/>
    <w:rsid w:val="009A1012"/>
    <w:rsid w:val="009A10B6"/>
    <w:rsid w:val="009A2CBA"/>
    <w:rsid w:val="009B472E"/>
    <w:rsid w:val="009C6F42"/>
    <w:rsid w:val="009E1F25"/>
    <w:rsid w:val="009F3454"/>
    <w:rsid w:val="00A03908"/>
    <w:rsid w:val="00A24F93"/>
    <w:rsid w:val="00A413D5"/>
    <w:rsid w:val="00A47BAD"/>
    <w:rsid w:val="00A47D5F"/>
    <w:rsid w:val="00A52BEC"/>
    <w:rsid w:val="00A862A4"/>
    <w:rsid w:val="00A92BA2"/>
    <w:rsid w:val="00AA49B9"/>
    <w:rsid w:val="00AB6124"/>
    <w:rsid w:val="00AB7A77"/>
    <w:rsid w:val="00AD12F3"/>
    <w:rsid w:val="00AD19E4"/>
    <w:rsid w:val="00AD3673"/>
    <w:rsid w:val="00AD4A48"/>
    <w:rsid w:val="00AE4928"/>
    <w:rsid w:val="00B11BE8"/>
    <w:rsid w:val="00B1354A"/>
    <w:rsid w:val="00B43413"/>
    <w:rsid w:val="00B51F07"/>
    <w:rsid w:val="00B55AA9"/>
    <w:rsid w:val="00B605B3"/>
    <w:rsid w:val="00B6409D"/>
    <w:rsid w:val="00B65A78"/>
    <w:rsid w:val="00B75D21"/>
    <w:rsid w:val="00B82F44"/>
    <w:rsid w:val="00B854DA"/>
    <w:rsid w:val="00B94BF6"/>
    <w:rsid w:val="00BB43FD"/>
    <w:rsid w:val="00BB4C61"/>
    <w:rsid w:val="00BC3ED9"/>
    <w:rsid w:val="00BD0579"/>
    <w:rsid w:val="00BF5744"/>
    <w:rsid w:val="00C0615F"/>
    <w:rsid w:val="00C10FB4"/>
    <w:rsid w:val="00C15A97"/>
    <w:rsid w:val="00C17A11"/>
    <w:rsid w:val="00C41104"/>
    <w:rsid w:val="00C42CAD"/>
    <w:rsid w:val="00C46B9E"/>
    <w:rsid w:val="00C527C3"/>
    <w:rsid w:val="00C552DE"/>
    <w:rsid w:val="00C613B0"/>
    <w:rsid w:val="00C666BD"/>
    <w:rsid w:val="00C71560"/>
    <w:rsid w:val="00C80F74"/>
    <w:rsid w:val="00C8621F"/>
    <w:rsid w:val="00CA1872"/>
    <w:rsid w:val="00CA1D5A"/>
    <w:rsid w:val="00CB393B"/>
    <w:rsid w:val="00CD02EB"/>
    <w:rsid w:val="00CF2384"/>
    <w:rsid w:val="00CF7C33"/>
    <w:rsid w:val="00D17EF8"/>
    <w:rsid w:val="00D31E05"/>
    <w:rsid w:val="00D42313"/>
    <w:rsid w:val="00D45220"/>
    <w:rsid w:val="00D51EF8"/>
    <w:rsid w:val="00D532DF"/>
    <w:rsid w:val="00D5683A"/>
    <w:rsid w:val="00D6075F"/>
    <w:rsid w:val="00D64A8A"/>
    <w:rsid w:val="00D8155F"/>
    <w:rsid w:val="00D92897"/>
    <w:rsid w:val="00D9771C"/>
    <w:rsid w:val="00D97BF8"/>
    <w:rsid w:val="00DA5E85"/>
    <w:rsid w:val="00DB1B72"/>
    <w:rsid w:val="00DD18B8"/>
    <w:rsid w:val="00DD5BF9"/>
    <w:rsid w:val="00DE0FB7"/>
    <w:rsid w:val="00DE3DD6"/>
    <w:rsid w:val="00DE517B"/>
    <w:rsid w:val="00DE5A5D"/>
    <w:rsid w:val="00DF4C21"/>
    <w:rsid w:val="00E10E84"/>
    <w:rsid w:val="00E273BD"/>
    <w:rsid w:val="00E311DC"/>
    <w:rsid w:val="00E3534A"/>
    <w:rsid w:val="00E4444A"/>
    <w:rsid w:val="00E95DE1"/>
    <w:rsid w:val="00E97E26"/>
    <w:rsid w:val="00EA3A1A"/>
    <w:rsid w:val="00EB0314"/>
    <w:rsid w:val="00EB2DD7"/>
    <w:rsid w:val="00EB56F6"/>
    <w:rsid w:val="00EC3C0E"/>
    <w:rsid w:val="00EF1953"/>
    <w:rsid w:val="00EF2D9E"/>
    <w:rsid w:val="00EF3BC8"/>
    <w:rsid w:val="00F003DC"/>
    <w:rsid w:val="00F023FE"/>
    <w:rsid w:val="00F0773C"/>
    <w:rsid w:val="00F10ABD"/>
    <w:rsid w:val="00F15B84"/>
    <w:rsid w:val="00F21394"/>
    <w:rsid w:val="00F33F66"/>
    <w:rsid w:val="00F4233A"/>
    <w:rsid w:val="00F52831"/>
    <w:rsid w:val="00F53B73"/>
    <w:rsid w:val="00F53D3E"/>
    <w:rsid w:val="00F61714"/>
    <w:rsid w:val="00F7015E"/>
    <w:rsid w:val="00F828AE"/>
    <w:rsid w:val="00F9398C"/>
    <w:rsid w:val="00F9535D"/>
    <w:rsid w:val="00F97BF7"/>
    <w:rsid w:val="00FA2710"/>
    <w:rsid w:val="00FB554A"/>
    <w:rsid w:val="00FB588A"/>
    <w:rsid w:val="00FC0694"/>
    <w:rsid w:val="00FC6F29"/>
    <w:rsid w:val="00FD1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1</TotalTime>
  <Pages>4</Pages>
  <Words>1372</Words>
  <Characters>7483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Administrator</cp:lastModifiedBy>
  <cp:revision>2</cp:revision>
  <cp:lastPrinted>2011-09-11T19:51:00Z</cp:lastPrinted>
  <dcterms:created xsi:type="dcterms:W3CDTF">2011-09-12T13:53:00Z</dcterms:created>
  <dcterms:modified xsi:type="dcterms:W3CDTF">2011-09-12T13:53:00Z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