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Default="009A10B6" w:rsidP="00D8155F">
      <w:pPr>
        <w:pStyle w:val="BlockText"/>
        <w:jc w:val="center"/>
        <w:rPr>
          <w:b/>
        </w:rPr>
      </w:pPr>
    </w:p>
    <w:p w:rsidR="009E1F25" w:rsidRPr="001476D7" w:rsidRDefault="009E1F25"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B43413">
        <w:t>: July</w:t>
      </w:r>
      <w:r w:rsidR="004A582F">
        <w:t xml:space="preserve"> 2011</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B43413" w:rsidRDefault="00B43413" w:rsidP="00D9771C">
      <w:pPr>
        <w:pStyle w:val="BlockText"/>
        <w:rPr>
          <w:b/>
          <w:u w:val="single"/>
        </w:rPr>
      </w:pPr>
    </w:p>
    <w:p w:rsidR="00B43413" w:rsidRDefault="00B43413" w:rsidP="00D9771C">
      <w:pPr>
        <w:pStyle w:val="BlockText"/>
      </w:pPr>
      <w:r>
        <w:tab/>
      </w:r>
      <w:r w:rsidR="00AB7A77">
        <w:t xml:space="preserve">Certain </w:t>
      </w:r>
      <w:r w:rsidR="00AB7A77" w:rsidRPr="003376F7">
        <w:rPr>
          <w:i/>
          <w:u w:val="single"/>
        </w:rPr>
        <w:t>Interested Underwriters at Lloyd’</w:t>
      </w:r>
      <w:r w:rsidR="003376F7" w:rsidRPr="003376F7">
        <w:rPr>
          <w:i/>
          <w:u w:val="single"/>
        </w:rPr>
        <w:t>s, London v. Chabad Lu</w:t>
      </w:r>
      <w:r w:rsidR="00AB7A77" w:rsidRPr="003376F7">
        <w:rPr>
          <w:i/>
          <w:u w:val="single"/>
        </w:rPr>
        <w:t>bavitch of Greater Fort Lauderdale, Inc.</w:t>
      </w:r>
      <w:r w:rsidR="00AB7A77">
        <w:t>, Case No. 4D10-762, filed June 8, 2011:</w:t>
      </w:r>
      <w:r w:rsidR="003376F7">
        <w:t xml:space="preserve"> During Tropical Storm Berry, a building was damaged when a crane landed on it. The owner (Chabad Lubavitch) had two (2) policies in place: a wind policy, under which a claim and policy limits were paid; and, an “all risk” policy, under which the owner’s claim was denied based on a “windstorm exclusion” provision. The trial court’s denial of Lloyd’s motion for summary judgment was reversed based on a fining that this exclusion did not apply because the damage to the building was not caused by wind…it was caused by the crane. This case contains an excellent discussion of the rules of construction governing interpretation and application of insurance policies, such as: (1) must be based on the policy’s plain language; (2) if provision is ambiguous, it must be construed in favor of the insured; and, (3) if more than one meaning can be assigned to a provision, one which favors coverage and one that does not, the provision is ambiguous.</w:t>
      </w:r>
    </w:p>
    <w:p w:rsidR="003376F7" w:rsidRDefault="003376F7" w:rsidP="00D9771C">
      <w:pPr>
        <w:pStyle w:val="BlockText"/>
      </w:pPr>
    </w:p>
    <w:p w:rsidR="003376F7" w:rsidRDefault="003376F7" w:rsidP="00D9771C">
      <w:pPr>
        <w:pStyle w:val="BlockText"/>
      </w:pPr>
      <w:r>
        <w:tab/>
      </w:r>
      <w:r w:rsidRPr="003376F7">
        <w:rPr>
          <w:i/>
          <w:u w:val="single"/>
        </w:rPr>
        <w:t>BGT Group, Inc., v. Tradewinds Engine Services, LLC</w:t>
      </w:r>
      <w:r>
        <w:t>, Case No. 4D10-4120, filed June 8, 2011: Trail court’s none-final order denying of motion to compel arbitration was upheld</w:t>
      </w:r>
      <w:r w:rsidR="0089089A">
        <w:t xml:space="preserve"> because the contract documents failed to sufficiently describe the collateral document that contained an arbitration clause. While the seller’s quote and invoice made reference to attached terms and conditions, no such attachment was made; therefore, there was a failure to “incorporate by reference” the arbitration clause. This case also discusses other appellate decisions regarding the “incorporation by reference” doctrine by requiring that the referenced document must be either attached or sufficiently described in the contract documents to reflect the intend of the parties to be bound by an arbitration clause.</w:t>
      </w:r>
    </w:p>
    <w:p w:rsidR="0089089A" w:rsidRDefault="0089089A" w:rsidP="00D9771C">
      <w:pPr>
        <w:pStyle w:val="BlockText"/>
      </w:pPr>
    </w:p>
    <w:p w:rsidR="001B11FD" w:rsidRDefault="0089089A" w:rsidP="0089089A">
      <w:pPr>
        <w:pStyle w:val="BlockText"/>
        <w:ind w:firstLine="720"/>
      </w:pPr>
      <w:r w:rsidRPr="0089089A">
        <w:rPr>
          <w:i/>
          <w:u w:val="single"/>
        </w:rPr>
        <w:t>Leroy Edwards v. State Farm Florida Insurance Company</w:t>
      </w:r>
      <w:r>
        <w:t>, Case No. 3D10-2062, filed June 15, 2011: Homeowner’s claim for breach of contract against insurer was denied for failure to meet the conditions precedent to payment as provided in the policy, to-wit: submission to an examination of claim under oath, and submission of documents that accurately reflect the amount of loss claimed.</w:t>
      </w:r>
    </w:p>
    <w:p w:rsidR="00D51EF8" w:rsidRDefault="00D51EF8" w:rsidP="00D51EF8">
      <w:pPr>
        <w:pStyle w:val="BlockText"/>
      </w:pPr>
    </w:p>
    <w:p w:rsidR="00D51EF8" w:rsidRPr="00D51EF8" w:rsidRDefault="00D51EF8" w:rsidP="00D51EF8">
      <w:pPr>
        <w:pStyle w:val="BlockText"/>
        <w:rPr>
          <w:b/>
          <w:u w:val="single"/>
        </w:rPr>
      </w:pPr>
      <w:r w:rsidRPr="00D51EF8">
        <w:rPr>
          <w:b/>
          <w:u w:val="single"/>
        </w:rPr>
        <w:t>Circuit Court Decisions:</w:t>
      </w:r>
    </w:p>
    <w:p w:rsidR="0089089A" w:rsidRDefault="0089089A" w:rsidP="0089089A">
      <w:pPr>
        <w:pStyle w:val="BlockText"/>
        <w:ind w:firstLine="720"/>
      </w:pPr>
    </w:p>
    <w:p w:rsidR="0089089A" w:rsidRDefault="0089089A" w:rsidP="0089089A">
      <w:pPr>
        <w:pStyle w:val="BlockText"/>
        <w:ind w:firstLine="720"/>
        <w:rPr>
          <w:b/>
          <w:u w:val="single"/>
        </w:rPr>
      </w:pPr>
      <w:r w:rsidRPr="0089089A">
        <w:rPr>
          <w:i/>
          <w:u w:val="single"/>
        </w:rPr>
        <w:t>Walker v. Teachers Insurance Company</w:t>
      </w:r>
      <w:r>
        <w:t>, Circuit Court Case No. 09-17303, Division B, 13</w:t>
      </w:r>
      <w:r w:rsidRPr="0089089A">
        <w:rPr>
          <w:vertAlign w:val="superscript"/>
        </w:rPr>
        <w:t>th</w:t>
      </w:r>
      <w:r>
        <w:t xml:space="preserve"> Judicial Circuit, Hillsborough County, Florida, Summary Judgment entered on March 9, 2011: Chinese drywall damage claim in which trial court held that </w:t>
      </w:r>
      <w:r w:rsidR="00D51EF8">
        <w:t>the “wear and tear” and “errors, omissions and defects” insurance policy exclusions did not apply, and that the policy coverage for losses caused by “smoke” did apply to the off-gassing damages resulting from the product.</w:t>
      </w:r>
    </w:p>
    <w:p w:rsidR="00D5683A" w:rsidRPr="00D5683A" w:rsidRDefault="001B11FD" w:rsidP="003376F7">
      <w:pPr>
        <w:pStyle w:val="BlockText"/>
      </w:pPr>
      <w:r>
        <w:tab/>
      </w:r>
    </w:p>
    <w:p w:rsidR="009E1F25" w:rsidRDefault="009E1F25" w:rsidP="00D9771C">
      <w:pPr>
        <w:pStyle w:val="BlockText"/>
        <w:rPr>
          <w:b/>
          <w:u w:val="single"/>
        </w:rPr>
      </w:pPr>
    </w:p>
    <w:p w:rsidR="00D9771C" w:rsidRDefault="00D9771C" w:rsidP="00D9771C">
      <w:pPr>
        <w:pStyle w:val="BlockText"/>
      </w:pPr>
      <w:r w:rsidRPr="00D9771C">
        <w:rPr>
          <w:b/>
          <w:u w:val="single"/>
        </w:rPr>
        <w:lastRenderedPageBreak/>
        <w:t>DOAH Orders:</w:t>
      </w:r>
      <w:r w:rsidR="0083319A">
        <w:t xml:space="preserve"> </w:t>
      </w:r>
    </w:p>
    <w:p w:rsidR="00D51EF8" w:rsidRDefault="00D51EF8" w:rsidP="00D9771C">
      <w:pPr>
        <w:pStyle w:val="BlockText"/>
      </w:pPr>
    </w:p>
    <w:p w:rsidR="00236AB0" w:rsidRDefault="00D51EF8" w:rsidP="00D9771C">
      <w:pPr>
        <w:pStyle w:val="BlockText"/>
      </w:pPr>
      <w:r>
        <w:tab/>
      </w:r>
      <w:r w:rsidRPr="00D51EF8">
        <w:rPr>
          <w:i/>
          <w:u w:val="single"/>
        </w:rPr>
        <w:t>Petito v. Construction Industry Licensing Board</w:t>
      </w:r>
      <w:r>
        <w:t xml:space="preserve">, Case No. 10-944, Order filed July 1, 20ll:  The board entered an order approving petition’s application to transfer a license from one business entity to another business entity, but imposed conditions on that approval based on concerns expressed regarding the licensee’s lack of both financial responsibility and stability, as well as lack of good moral character for failure to properly disclose all prior criminal convictions, and placing the licensee on probation. Following </w:t>
      </w:r>
      <w:r w:rsidR="00236AB0">
        <w:t xml:space="preserve">a </w:t>
      </w:r>
      <w:r>
        <w:t>formal hearing, DOAH recommended</w:t>
      </w:r>
      <w:r>
        <w:rPr>
          <w:rStyle w:val="FootnoteReference"/>
        </w:rPr>
        <w:footnoteReference w:id="1"/>
      </w:r>
      <w:r>
        <w:t xml:space="preserve"> that the CILB</w:t>
      </w:r>
      <w:r w:rsidR="00236AB0">
        <w:t xml:space="preserve"> enter a final order granting the application without any such conditions, based on the board’s lack of statutory authority to impose disciplinary penalties on a licensee without first filing a disciplinary action against him.</w:t>
      </w:r>
    </w:p>
    <w:p w:rsidR="009E1F25" w:rsidRDefault="009E1F25" w:rsidP="00D9771C">
      <w:pPr>
        <w:pStyle w:val="BlockText"/>
      </w:pPr>
    </w:p>
    <w:p w:rsidR="002C5E1D" w:rsidRDefault="00236AB0" w:rsidP="00F9535D">
      <w:pPr>
        <w:pStyle w:val="BlockText"/>
      </w:pPr>
      <w:r w:rsidRPr="009E1F25">
        <w:rPr>
          <w:u w:val="single"/>
        </w:rPr>
        <w:t>Editor’s Note:</w:t>
      </w:r>
      <w:r>
        <w:t xml:space="preserve"> While this case appears to have been correctly decided on the law, the board can reject this recommended order and enter a modified final order denying the application based on its findings regarding lack of financial ability and lack of good moral character for failing to properly and completely report his criminal convictions. The board’s only real limitation, subject to judicial appeal, it to accept the Administrative Law Judge’s findings of fact (as made in this recommended order)</w:t>
      </w:r>
      <w:r w:rsidR="009E1F25">
        <w:t>, but retains the right to interpret and apply the law</w:t>
      </w:r>
      <w:r>
        <w:t>.</w:t>
      </w:r>
    </w:p>
    <w:p w:rsidR="00675E10" w:rsidRDefault="00675E10"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D9771C" w:rsidRPr="00AE4928" w:rsidRDefault="00236AB0" w:rsidP="00F9535D">
      <w:pPr>
        <w:pStyle w:val="BlockText"/>
        <w:rPr>
          <w:b/>
        </w:rPr>
      </w:pPr>
      <w:r>
        <w:rPr>
          <w:b/>
        </w:rPr>
        <w:t>Note that state agencies are</w:t>
      </w:r>
      <w:r w:rsidR="00AE4928">
        <w:rPr>
          <w:b/>
        </w:rPr>
        <w:t xml:space="preserve"> beginning to </w:t>
      </w:r>
      <w:r>
        <w:rPr>
          <w:b/>
        </w:rPr>
        <w:t xml:space="preserve">again promulgate rules </w:t>
      </w:r>
      <w:r w:rsidR="00AE4928">
        <w:rPr>
          <w:b/>
        </w:rPr>
        <w:t>since the Governor’s Executive Order of January, 2011, “freezing” new rules</w:t>
      </w:r>
      <w:r>
        <w:rPr>
          <w:b/>
        </w:rPr>
        <w:t xml:space="preserve"> has been modified (and is pending a supreme court challenge)</w:t>
      </w:r>
      <w:r w:rsidR="00AE4928">
        <w:rPr>
          <w:b/>
        </w:rPr>
        <w:t>.</w:t>
      </w:r>
    </w:p>
    <w:p w:rsidR="0098369B" w:rsidRDefault="0098369B"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F21394" w:rsidRDefault="00F9535D" w:rsidP="00F21394">
      <w:pPr>
        <w:pStyle w:val="BlockText"/>
        <w:numPr>
          <w:ilvl w:val="0"/>
          <w:numId w:val="32"/>
        </w:numPr>
      </w:pPr>
      <w:r w:rsidRPr="00F21394">
        <w:rPr>
          <w:u w:val="single"/>
        </w:rPr>
        <w:t>Constru</w:t>
      </w:r>
      <w:r w:rsidR="00CA1872" w:rsidRPr="00F21394">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305FDE">
        <w:t>:</w:t>
      </w:r>
      <w:r w:rsidR="00F21394">
        <w:t xml:space="preserve"> </w:t>
      </w:r>
    </w:p>
    <w:p w:rsidR="00F21394" w:rsidRDefault="00F21394" w:rsidP="00F21394">
      <w:pPr>
        <w:pStyle w:val="BlockText"/>
        <w:ind w:left="1080"/>
      </w:pPr>
    </w:p>
    <w:p w:rsidR="00DA5E85" w:rsidRDefault="00236AB0" w:rsidP="005463F4">
      <w:pPr>
        <w:pStyle w:val="ListParagraph"/>
        <w:numPr>
          <w:ilvl w:val="1"/>
          <w:numId w:val="32"/>
        </w:numPr>
        <w:jc w:val="both"/>
      </w:pPr>
      <w:r>
        <w:t xml:space="preserve">On June 8, 2011, the board issued an order denying a </w:t>
      </w:r>
      <w:r w:rsidR="00DA5E85">
        <w:t>Petitio</w:t>
      </w:r>
      <w:r w:rsidR="00221AAE">
        <w:t xml:space="preserve">n for </w:t>
      </w:r>
      <w:r w:rsidR="00221926">
        <w:t>Decl</w:t>
      </w:r>
      <w:r>
        <w:t>aratory Statement from Don White, R.A.W. Construction, filed on March 29, 2011</w:t>
      </w:r>
      <w:r w:rsidR="00221AAE">
        <w:t>, seeking</w:t>
      </w:r>
      <w:r w:rsidR="0022445A">
        <w:t xml:space="preserve"> </w:t>
      </w:r>
      <w:r w:rsidR="00221926">
        <w:t>a</w:t>
      </w:r>
      <w:r>
        <w:t xml:space="preserve">n interpretation of s. 489.105(3), F. S., as to whether a general contractor is licensed to install a natural gas distribution system or natural gas pipelines, without being certified as a gas line specialist. This denial was based on the </w:t>
      </w:r>
      <w:r w:rsidR="00A52BEC">
        <w:t>board’s determination</w:t>
      </w:r>
      <w:r w:rsidR="00221926">
        <w:t xml:space="preserve"> </w:t>
      </w:r>
      <w:r>
        <w:t>that a declar</w:t>
      </w:r>
      <w:r w:rsidR="002B0DFC">
        <w:t>atory statement is not the appro</w:t>
      </w:r>
      <w:r>
        <w:t>priate means for obtain</w:t>
      </w:r>
      <w:r w:rsidR="002B0DFC">
        <w:t>in</w:t>
      </w:r>
      <w:r>
        <w:t>g a policy statement of general application.</w:t>
      </w:r>
    </w:p>
    <w:p w:rsidR="005A61CC" w:rsidRDefault="005A61CC" w:rsidP="002B0DFC"/>
    <w:p w:rsidR="002B0DFC" w:rsidRDefault="00AE4928" w:rsidP="002B0DFC">
      <w:pPr>
        <w:pStyle w:val="ListParagraph"/>
        <w:numPr>
          <w:ilvl w:val="1"/>
          <w:numId w:val="32"/>
        </w:numPr>
        <w:jc w:val="both"/>
      </w:pPr>
      <w:r>
        <w:t xml:space="preserve">On </w:t>
      </w:r>
      <w:r w:rsidR="002B0DFC">
        <w:t xml:space="preserve">July 15, 2011, </w:t>
      </w:r>
      <w:r w:rsidR="005A61CC">
        <w:t xml:space="preserve">the board </w:t>
      </w:r>
      <w:r w:rsidR="002B0DFC">
        <w:t>will consider an amendment to Rule 61G4-16.009(1)(b), FAC, increasing the number of times an applicant must pass all tests from two (2) years to four (4) years.</w:t>
      </w:r>
    </w:p>
    <w:p w:rsidR="00F21394" w:rsidRDefault="00F21394" w:rsidP="00F21394">
      <w:pPr>
        <w:pStyle w:val="ListParagraph"/>
      </w:pPr>
    </w:p>
    <w:p w:rsidR="005A61CC" w:rsidRDefault="00F21394" w:rsidP="00F21394">
      <w:pPr>
        <w:ind w:left="720"/>
        <w:jc w:val="both"/>
      </w:pPr>
      <w:r w:rsidRPr="00F21394">
        <w:rPr>
          <w:b/>
          <w:u w:val="single"/>
        </w:rPr>
        <w:t>Editor’s Note:</w:t>
      </w:r>
      <w:r>
        <w:t xml:space="preserve"> On June 27, 2011, the CILB Executive Director </w:t>
      </w:r>
      <w:r w:rsidRPr="00F21394">
        <w:t>G. W. Harrell</w:t>
      </w:r>
      <w:r>
        <w:t xml:space="preserve"> (who is also a member of this committee) was promoted by the agency Secretary, Ken Lawson, to Director of the Division of Professions (which includes all of the licensing and regulatory boards, except for real estate, real estate appraisers and public accountancy). </w:t>
      </w:r>
      <w:r w:rsidRPr="00F21394">
        <w:rPr>
          <w:b/>
        </w:rPr>
        <w:t>Congrats G. W</w:t>
      </w:r>
      <w:r>
        <w:rPr>
          <w:b/>
        </w:rPr>
        <w:t>.</w:t>
      </w:r>
      <w:r>
        <w:t>!</w:t>
      </w:r>
    </w:p>
    <w:p w:rsidR="00F10ABD" w:rsidRDefault="00F9535D" w:rsidP="007755F6">
      <w:pPr>
        <w:pStyle w:val="BlockText"/>
        <w:numPr>
          <w:ilvl w:val="0"/>
          <w:numId w:val="32"/>
        </w:numPr>
      </w:pPr>
      <w:r w:rsidRPr="007755F6">
        <w:rPr>
          <w:u w:val="single"/>
        </w:rPr>
        <w:lastRenderedPageBreak/>
        <w:t>Electric</w:t>
      </w:r>
      <w:r w:rsidR="00CA1872" w:rsidRPr="007755F6">
        <w:rPr>
          <w:u w:val="single"/>
        </w:rPr>
        <w:t>al Contracting Licensing Board</w:t>
      </w:r>
      <w:r w:rsidR="00305FDE">
        <w:t xml:space="preserve"> (includes both electricians and alarm contractors)</w:t>
      </w:r>
      <w:r w:rsidR="00CA1872">
        <w:t xml:space="preserve"> </w:t>
      </w:r>
      <w:r w:rsidR="00DA5E85">
        <w:t>– Chapter 489, Part II:</w:t>
      </w:r>
      <w:r w:rsidR="00E311DC">
        <w:t xml:space="preserve"> </w:t>
      </w:r>
      <w:r w:rsidR="00AE4928">
        <w:t xml:space="preserve"> </w:t>
      </w:r>
    </w:p>
    <w:p w:rsidR="00F10ABD" w:rsidRDefault="00F10ABD" w:rsidP="00F10ABD">
      <w:pPr>
        <w:pStyle w:val="BlockText"/>
        <w:ind w:left="1080"/>
      </w:pPr>
    </w:p>
    <w:p w:rsidR="00F10ABD" w:rsidRDefault="00AE4928" w:rsidP="00F10ABD">
      <w:pPr>
        <w:pStyle w:val="BlockText"/>
        <w:numPr>
          <w:ilvl w:val="1"/>
          <w:numId w:val="32"/>
        </w:numPr>
      </w:pPr>
      <w:r>
        <w:t>The board has proposed changes to the following rules:</w:t>
      </w:r>
    </w:p>
    <w:p w:rsidR="00172C04" w:rsidRDefault="00172C04" w:rsidP="00172C04">
      <w:pPr>
        <w:pStyle w:val="BlockText"/>
        <w:ind w:left="1800"/>
      </w:pPr>
    </w:p>
    <w:p w:rsidR="00172C04" w:rsidRDefault="00172C04" w:rsidP="00172C04">
      <w:pPr>
        <w:pStyle w:val="BlockText"/>
        <w:numPr>
          <w:ilvl w:val="2"/>
          <w:numId w:val="32"/>
        </w:numPr>
      </w:pPr>
      <w:r>
        <w:t>61G6-</w:t>
      </w:r>
      <w:r w:rsidR="009E1F25">
        <w:t>10.0065</w:t>
      </w:r>
      <w:r w:rsidR="002B0DFC">
        <w:t>,</w:t>
      </w:r>
      <w:r w:rsidR="009E1F25">
        <w:t xml:space="preserve"> a new rule</w:t>
      </w:r>
      <w:r w:rsidR="002B0DFC">
        <w:t xml:space="preserve"> regarding </w:t>
      </w:r>
      <w:r w:rsidR="009E1F25">
        <w:t>the reinstatement of licenses which have become null and void, and allowing a application to reinstate to inactive status.</w:t>
      </w:r>
    </w:p>
    <w:p w:rsidR="009E1F25" w:rsidRDefault="009E1F25" w:rsidP="009E1F25">
      <w:pPr>
        <w:pStyle w:val="BlockText"/>
        <w:ind w:left="2520"/>
      </w:pPr>
    </w:p>
    <w:p w:rsidR="00172C04" w:rsidRDefault="009E1F25" w:rsidP="00172C04">
      <w:pPr>
        <w:pStyle w:val="BlockText"/>
        <w:numPr>
          <w:ilvl w:val="2"/>
          <w:numId w:val="32"/>
        </w:numPr>
      </w:pPr>
      <w:r>
        <w:t>61G6-7/001,</w:t>
      </w:r>
      <w:r w:rsidR="00172C04">
        <w:t xml:space="preserve"> regarding </w:t>
      </w:r>
      <w:r>
        <w:t>Specialty Electrical Contractors by expanding the scope of work to include various parts of an alarm system, and allow such work to also be preformed within the scope of work permitted for alarm contractors and residential electrical contractors.</w:t>
      </w:r>
    </w:p>
    <w:p w:rsidR="009E1F25" w:rsidRDefault="009E1F25" w:rsidP="009E1F25">
      <w:pPr>
        <w:pStyle w:val="ListParagraph"/>
      </w:pPr>
    </w:p>
    <w:p w:rsidR="009E1F25" w:rsidRDefault="009E1F25" w:rsidP="00172C04">
      <w:pPr>
        <w:pStyle w:val="BlockText"/>
        <w:numPr>
          <w:ilvl w:val="2"/>
          <w:numId w:val="32"/>
        </w:numPr>
      </w:pPr>
      <w:r>
        <w:t>61G6-5.004, regarding requirements for business organizations.</w:t>
      </w:r>
    </w:p>
    <w:p w:rsidR="009E1F25" w:rsidRDefault="009E1F25" w:rsidP="009E1F25">
      <w:pPr>
        <w:pStyle w:val="ListParagraph"/>
      </w:pPr>
    </w:p>
    <w:p w:rsidR="009E1F25" w:rsidRDefault="009E1F25" w:rsidP="00172C04">
      <w:pPr>
        <w:pStyle w:val="BlockText"/>
        <w:numPr>
          <w:ilvl w:val="2"/>
          <w:numId w:val="32"/>
        </w:numPr>
      </w:pPr>
      <w:r>
        <w:t>61G6-5.003, regarding requirements for certification.</w:t>
      </w:r>
    </w:p>
    <w:p w:rsidR="009E1F25" w:rsidRDefault="009E1F25" w:rsidP="009E1F25">
      <w:pPr>
        <w:pStyle w:val="ListParagraph"/>
      </w:pPr>
    </w:p>
    <w:p w:rsidR="009E1F25" w:rsidRDefault="009E1F25" w:rsidP="00172C04">
      <w:pPr>
        <w:pStyle w:val="BlockText"/>
        <w:numPr>
          <w:ilvl w:val="2"/>
          <w:numId w:val="32"/>
        </w:numPr>
      </w:pPr>
      <w:r>
        <w:t>61G6-5.002, regarding examinations and reexaminations.</w:t>
      </w:r>
    </w:p>
    <w:p w:rsidR="009E1F25" w:rsidRDefault="009E1F25" w:rsidP="009E1F25">
      <w:pPr>
        <w:pStyle w:val="ListParagraph"/>
      </w:pPr>
    </w:p>
    <w:p w:rsidR="009E1F25" w:rsidRDefault="009E1F25" w:rsidP="00172C04">
      <w:pPr>
        <w:pStyle w:val="BlockText"/>
        <w:numPr>
          <w:ilvl w:val="2"/>
          <w:numId w:val="32"/>
        </w:numPr>
      </w:pPr>
      <w:r>
        <w:t>61G6-9.006, regarding approval of CE courses.</w:t>
      </w:r>
    </w:p>
    <w:p w:rsidR="009E1F25" w:rsidRDefault="009E1F25" w:rsidP="009E1F25">
      <w:pPr>
        <w:pStyle w:val="ListParagraph"/>
      </w:pPr>
    </w:p>
    <w:p w:rsidR="009E1F25" w:rsidRDefault="009E1F25" w:rsidP="00172C04">
      <w:pPr>
        <w:pStyle w:val="BlockText"/>
        <w:numPr>
          <w:ilvl w:val="2"/>
          <w:numId w:val="32"/>
        </w:numPr>
      </w:pPr>
      <w:r>
        <w:t>61G6-12.001, regarding requirements for burglar alarm system training courses.</w:t>
      </w:r>
    </w:p>
    <w:p w:rsidR="009E1F25" w:rsidRDefault="009E1F25" w:rsidP="009E1F25">
      <w:pPr>
        <w:pStyle w:val="ListParagraph"/>
      </w:pPr>
    </w:p>
    <w:p w:rsidR="009E1F25" w:rsidRDefault="009E1F25" w:rsidP="009E1F25">
      <w:pPr>
        <w:pStyle w:val="BlockText"/>
        <w:numPr>
          <w:ilvl w:val="2"/>
          <w:numId w:val="32"/>
        </w:numPr>
      </w:pPr>
      <w:r>
        <w:t>616-12.002, regarding requirements for fire alarm system training courses.</w:t>
      </w:r>
    </w:p>
    <w:p w:rsidR="009E1F25" w:rsidRDefault="009E1F25" w:rsidP="009E1F25">
      <w:pPr>
        <w:pStyle w:val="BlockText"/>
      </w:pPr>
    </w:p>
    <w:p w:rsidR="009E1F25" w:rsidRDefault="009E1F25" w:rsidP="009E1F25">
      <w:pPr>
        <w:pStyle w:val="BlockText"/>
        <w:numPr>
          <w:ilvl w:val="1"/>
          <w:numId w:val="32"/>
        </w:numPr>
      </w:pPr>
      <w:r>
        <w:t>On June 22, 2011, the board received from Jeffrey L. Zenoniani a petition for variance or waiver of rule 616-6.001, FAC</w:t>
      </w:r>
      <w:r w:rsidR="00016A29">
        <w:t>, to waive the requirement to take the business examination based on petitioner having already successful completed the plumbing business examination.</w:t>
      </w:r>
    </w:p>
    <w:p w:rsidR="00172C04" w:rsidRDefault="00172C04" w:rsidP="00172C04">
      <w:pPr>
        <w:pStyle w:val="ListParagraph"/>
      </w:pPr>
    </w:p>
    <w:p w:rsidR="00AE4928" w:rsidRDefault="00F9535D" w:rsidP="002B0DFC">
      <w:pPr>
        <w:pStyle w:val="BlockText"/>
        <w:numPr>
          <w:ilvl w:val="0"/>
          <w:numId w:val="32"/>
        </w:numPr>
      </w:pPr>
      <w:r w:rsidRPr="00EF1953">
        <w:rPr>
          <w:u w:val="single"/>
        </w:rPr>
        <w:t>Board of Ar</w:t>
      </w:r>
      <w:r w:rsidR="00CA1872" w:rsidRPr="00EF1953">
        <w:rPr>
          <w:u w:val="single"/>
        </w:rPr>
        <w:t>chitecture and Interior Design</w:t>
      </w:r>
      <w:r w:rsidR="00CA1872">
        <w:t xml:space="preserve"> – Chapter 481, Part I</w:t>
      </w:r>
      <w:r w:rsidR="00EB0314">
        <w:t>, FS</w:t>
      </w:r>
      <w:r w:rsidR="00CA1872">
        <w:t xml:space="preserve"> and 61G1 FAC</w:t>
      </w:r>
      <w:r w:rsidR="002B0DFC">
        <w:t>: On June 7, 2011, the board received a Petition for Variance or Waiver from Jennifer Wood, regarding Rule 61G1-22.002(1), FAC, regarding the design experience required by s. 481.209(2), F. S.</w:t>
      </w:r>
    </w:p>
    <w:p w:rsidR="00AE4928" w:rsidRDefault="00AE4928" w:rsidP="002E2A6D">
      <w:pPr>
        <w:pStyle w:val="BlockText"/>
        <w:ind w:left="72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2E2A6D" w:rsidRDefault="002E2A6D" w:rsidP="00F10ABD">
      <w:pPr>
        <w:pStyle w:val="BlockText"/>
      </w:pPr>
    </w:p>
    <w:p w:rsidR="00305FDE" w:rsidRDefault="00EB56F6" w:rsidP="004200FB">
      <w:pPr>
        <w:pStyle w:val="ListParagraph"/>
        <w:ind w:left="1440"/>
      </w:pPr>
      <w:r>
        <w:t>(Nothing to report)</w:t>
      </w:r>
    </w:p>
    <w:p w:rsidR="002B3E98" w:rsidRDefault="002B3E98" w:rsidP="00172C04"/>
    <w:p w:rsidR="00F10ABD" w:rsidRDefault="00F9535D" w:rsidP="00172C04">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F10ABD" w:rsidRDefault="00F10ABD" w:rsidP="00F10ABD">
      <w:pPr>
        <w:pStyle w:val="BlockText"/>
        <w:ind w:left="1080"/>
      </w:pPr>
    </w:p>
    <w:p w:rsidR="00EB56F6" w:rsidRDefault="002B0DFC" w:rsidP="002B0DFC">
      <w:pPr>
        <w:pStyle w:val="BlockText"/>
        <w:ind w:left="1440"/>
      </w:pPr>
      <w:r>
        <w:t>(Nothing to report)</w:t>
      </w:r>
    </w:p>
    <w:p w:rsidR="002B0DFC" w:rsidRDefault="002B0DFC" w:rsidP="002B0DFC">
      <w:pPr>
        <w:pStyle w:val="BlockText"/>
        <w:ind w:left="1440"/>
      </w:pPr>
    </w:p>
    <w:p w:rsidR="003134D3" w:rsidRDefault="00F9535D" w:rsidP="00172C04">
      <w:pPr>
        <w:pStyle w:val="BlockText"/>
        <w:numPr>
          <w:ilvl w:val="0"/>
          <w:numId w:val="32"/>
        </w:numPr>
      </w:pPr>
      <w:r w:rsidRPr="003134D3">
        <w:rPr>
          <w:u w:val="single"/>
        </w:rPr>
        <w:t>Building Code Administrators and Inspectors</w:t>
      </w:r>
      <w:r>
        <w:t xml:space="preserve"> Board</w:t>
      </w:r>
      <w:r w:rsidR="00CA1872">
        <w:t xml:space="preserve"> – Chapter 468, Part XII and 61G19 FAC</w:t>
      </w:r>
      <w:r w:rsidR="002E2A6D">
        <w:t xml:space="preserve">: </w:t>
      </w:r>
      <w:r w:rsidR="00221AAE">
        <w:t xml:space="preserve"> </w:t>
      </w:r>
    </w:p>
    <w:p w:rsidR="003134D3" w:rsidRDefault="003134D3" w:rsidP="003134D3">
      <w:pPr>
        <w:pStyle w:val="BlockText"/>
        <w:ind w:left="1080"/>
      </w:pPr>
    </w:p>
    <w:p w:rsidR="003134D3" w:rsidRDefault="003134D3" w:rsidP="003134D3">
      <w:pPr>
        <w:pStyle w:val="BlockText"/>
        <w:ind w:left="1440"/>
      </w:pPr>
      <w:r>
        <w:t>(Nothing to report)</w:t>
      </w:r>
    </w:p>
    <w:p w:rsidR="003134D3" w:rsidRPr="003134D3" w:rsidRDefault="003134D3" w:rsidP="003134D3">
      <w:pPr>
        <w:pStyle w:val="BlockText"/>
        <w:ind w:left="1080"/>
      </w:pPr>
    </w:p>
    <w:p w:rsidR="002B0DFC" w:rsidRDefault="0098369B" w:rsidP="002B0DFC">
      <w:pPr>
        <w:pStyle w:val="BlockText"/>
        <w:numPr>
          <w:ilvl w:val="0"/>
          <w:numId w:val="32"/>
        </w:numPr>
      </w:pPr>
      <w:r w:rsidRPr="00DA5E85">
        <w:rPr>
          <w:u w:val="single"/>
        </w:rPr>
        <w:t>Florida Building Commission</w:t>
      </w:r>
      <w:r w:rsidR="00EF1953">
        <w:rPr>
          <w:rStyle w:val="FootnoteReference"/>
          <w:u w:val="single"/>
        </w:rPr>
        <w:footnoteReference w:id="2"/>
      </w:r>
      <w:r w:rsidR="00CA1872">
        <w:t xml:space="preserve"> – C</w:t>
      </w:r>
      <w:r w:rsidR="00383EFB">
        <w:t>hapter 553, Part IV</w:t>
      </w:r>
      <w:r w:rsidR="002E2A6D">
        <w:t xml:space="preserve"> and 9N FAC:</w:t>
      </w:r>
      <w:r w:rsidR="00C552DE">
        <w:t xml:space="preserve"> </w:t>
      </w:r>
    </w:p>
    <w:p w:rsidR="002B0DFC" w:rsidRDefault="002B0DFC" w:rsidP="002B0DFC">
      <w:pPr>
        <w:pStyle w:val="BlockText"/>
      </w:pPr>
    </w:p>
    <w:p w:rsidR="002B0DFC" w:rsidRDefault="002B0DFC" w:rsidP="002B0DFC">
      <w:pPr>
        <w:pStyle w:val="BlockText"/>
        <w:ind w:left="1440"/>
      </w:pPr>
      <w:r>
        <w:t>(Nothing to report)</w:t>
      </w:r>
    </w:p>
    <w:p w:rsidR="002B0DFC" w:rsidRDefault="002B0DFC" w:rsidP="002B0DFC">
      <w:pPr>
        <w:pStyle w:val="BlockText"/>
        <w:ind w:left="144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016A29" w:rsidRDefault="0098369B" w:rsidP="00011776">
      <w:pPr>
        <w:pStyle w:val="BlockText"/>
        <w:numPr>
          <w:ilvl w:val="0"/>
          <w:numId w:val="30"/>
        </w:numPr>
        <w:rPr>
          <w:b/>
          <w:u w:val="single"/>
        </w:r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r w:rsidR="00221AAE">
        <w:t xml:space="preserve"> None of the various bills filed for consideration during the 2011 regular legislative session, repealing the inspection and repair requirements enacted in 2010, passed.</w:t>
      </w:r>
      <w:r w:rsidR="002B0DFC">
        <w:t xml:space="preserve"> </w:t>
      </w:r>
      <w:r w:rsidR="002B0DFC" w:rsidRPr="00016A29">
        <w:rPr>
          <w:b/>
          <w:u w:val="single"/>
        </w:rPr>
        <w:t>However, lan</w:t>
      </w:r>
      <w:r w:rsidR="00016A29" w:rsidRPr="00016A29">
        <w:rPr>
          <w:b/>
          <w:u w:val="single"/>
        </w:rPr>
        <w:t>guage was included in the budget implementing bill that prohibits the Department of Health from expending any monies for the inspection program without first seeking and obtaining approval of the Legislative Budget Commission</w:t>
      </w:r>
      <w:r w:rsidR="0005012E" w:rsidRPr="00016A29">
        <w:rPr>
          <w:b/>
          <w:u w:val="single"/>
        </w:rPr>
        <w:t>.</w:t>
      </w:r>
    </w:p>
    <w:p w:rsidR="00227443" w:rsidRPr="002E2A6D"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Pr="00016A29"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B0DFC" w:rsidRDefault="002B0DFC" w:rsidP="004A582F">
      <w:pPr>
        <w:pStyle w:val="BlockText"/>
        <w:rPr>
          <w:b/>
          <w:u w:val="single"/>
        </w:rPr>
      </w:pPr>
    </w:p>
    <w:p w:rsidR="003134D3" w:rsidRDefault="00CD02EB" w:rsidP="004A582F">
      <w:pPr>
        <w:pStyle w:val="BlockText"/>
      </w:pPr>
      <w:r w:rsidRPr="00CD02EB">
        <w:rPr>
          <w:b/>
          <w:u w:val="single"/>
        </w:rPr>
        <w:t>Legislative Action:</w:t>
      </w:r>
      <w:r w:rsidR="000B76DD">
        <w:t xml:space="preserve"> </w:t>
      </w:r>
    </w:p>
    <w:p w:rsidR="00016A29" w:rsidRDefault="00016A29" w:rsidP="004A582F">
      <w:pPr>
        <w:pStyle w:val="BlockText"/>
      </w:pPr>
    </w:p>
    <w:p w:rsidR="00016A29" w:rsidRDefault="00016A29" w:rsidP="00016A29">
      <w:pPr>
        <w:pStyle w:val="BlockText"/>
        <w:tabs>
          <w:tab w:val="left" w:pos="720"/>
        </w:tabs>
      </w:pPr>
      <w:r>
        <w:t>Several legislative issues have been noted, as follows:</w:t>
      </w:r>
    </w:p>
    <w:p w:rsidR="00016A29" w:rsidRDefault="00016A29" w:rsidP="00016A29">
      <w:pPr>
        <w:pStyle w:val="BlockText"/>
        <w:tabs>
          <w:tab w:val="left" w:pos="720"/>
        </w:tabs>
      </w:pPr>
    </w:p>
    <w:p w:rsidR="00016A29" w:rsidRPr="00780CCE" w:rsidRDefault="00016A29" w:rsidP="00016A29">
      <w:pPr>
        <w:pStyle w:val="BlockText"/>
        <w:numPr>
          <w:ilvl w:val="0"/>
          <w:numId w:val="46"/>
        </w:numPr>
        <w:tabs>
          <w:tab w:val="left" w:pos="720"/>
        </w:tabs>
        <w:rPr>
          <w:b/>
        </w:rPr>
      </w:pPr>
      <w:r>
        <w:t>Chapter 2011-207, Laws of Florida, became effective on June 21, 2011. Known as the “Jim King Keep Florida Working Act,” this bill requires that, by December 31, 2011, and each four (4) years thereafter, each agency report to the Governor and Legislature: (1) a list of all rules that disqualify from employment or licensure persons who have been convicted of a crime and have completed incarceration and restitution sentencing requirements; and, (2) a determination of whether the disqualifying statues or rules are readily available to prospective employers and licensees.</w:t>
      </w:r>
      <w:r w:rsidR="00780CCE">
        <w:t xml:space="preserve"> Effective January 1, 2012, s. 112.011, F. S. is amended to </w:t>
      </w:r>
      <w:r w:rsidR="0005012E">
        <w:t>add</w:t>
      </w:r>
      <w:r w:rsidR="00780CCE">
        <w:t xml:space="preserve"> the following: </w:t>
      </w:r>
      <w:r w:rsidR="00780CCE" w:rsidRPr="00780CCE">
        <w:rPr>
          <w:b/>
        </w:rPr>
        <w:t>“(c) Notwithstanding any law to the contrary, a state agency many not deny an application for license, permit, certificate, or employment based solely on the application’s lack of civil rights. However, this paragraph does not apply to applications for a license to carry a concealed weapon or firearm under chapter 790.”</w:t>
      </w:r>
      <w:r w:rsidR="00780CCE">
        <w:rPr>
          <w:b/>
        </w:rPr>
        <w:t xml:space="preserve"> </w:t>
      </w:r>
      <w:r w:rsidR="00780CCE" w:rsidRPr="00780CCE">
        <w:t>[Emphasis added]</w:t>
      </w:r>
    </w:p>
    <w:p w:rsidR="00780CCE" w:rsidRPr="00780CCE" w:rsidRDefault="00780CCE" w:rsidP="00780CCE">
      <w:pPr>
        <w:pStyle w:val="BlockText"/>
        <w:tabs>
          <w:tab w:val="left" w:pos="720"/>
        </w:tabs>
        <w:ind w:left="720"/>
        <w:rPr>
          <w:b/>
        </w:rPr>
      </w:pPr>
    </w:p>
    <w:p w:rsidR="00780CCE" w:rsidRPr="00780CCE" w:rsidRDefault="00780CCE" w:rsidP="00016A29">
      <w:pPr>
        <w:pStyle w:val="BlockText"/>
        <w:numPr>
          <w:ilvl w:val="0"/>
          <w:numId w:val="46"/>
        </w:numPr>
        <w:tabs>
          <w:tab w:val="left" w:pos="720"/>
        </w:tabs>
        <w:rPr>
          <w:b/>
        </w:rPr>
      </w:pPr>
      <w:r>
        <w:t>Chapt</w:t>
      </w:r>
      <w:r w:rsidR="00F21394">
        <w:t>er 2010-169</w:t>
      </w:r>
      <w:r>
        <w:t>, Laws of Florida</w:t>
      </w:r>
      <w:r w:rsidR="003E13A7">
        <w:t>, became effective on July 1, 2011</w:t>
      </w:r>
      <w:r>
        <w:t>. It amends s. 55.03, F. S. regarding the legal interest rates on judgments to require calendar quarterly rate</w:t>
      </w:r>
      <w:r w:rsidR="00F21394">
        <w:t xml:space="preserve"> determination</w:t>
      </w:r>
      <w:r>
        <w:t xml:space="preserve">s by the Chief Financial Officer. HOWEVER, unlike the original bill that required quarterly adjustments </w:t>
      </w:r>
      <w:r w:rsidR="00F21394">
        <w:t xml:space="preserve">be </w:t>
      </w:r>
      <w:r>
        <w:t xml:space="preserve">applied to existing judgments, the final version provides </w:t>
      </w:r>
      <w:r w:rsidR="003E13A7" w:rsidRPr="00F21394">
        <w:rPr>
          <w:b/>
          <w:u w:val="single"/>
        </w:rPr>
        <w:t xml:space="preserve">only for </w:t>
      </w:r>
      <w:r w:rsidRPr="00F21394">
        <w:rPr>
          <w:b/>
          <w:u w:val="single"/>
        </w:rPr>
        <w:t>annual adjustments on January 1</w:t>
      </w:r>
      <w:r>
        <w:t xml:space="preserve"> of each year as to most judgments.</w:t>
      </w:r>
      <w:r w:rsidR="003E13A7">
        <w:t xml:space="preserve"> This new law is silent as to its effect on judgments entered prior to July 1, 2011, so retroactive application may not be allowed.</w:t>
      </w:r>
    </w:p>
    <w:p w:rsidR="00780CCE" w:rsidRDefault="00780CCE" w:rsidP="00780CCE">
      <w:pPr>
        <w:pStyle w:val="ListParagraph"/>
        <w:rPr>
          <w:b/>
        </w:rPr>
      </w:pPr>
    </w:p>
    <w:p w:rsidR="00016A29" w:rsidRDefault="00780CCE" w:rsidP="00016A29">
      <w:pPr>
        <w:pStyle w:val="BlockText"/>
        <w:numPr>
          <w:ilvl w:val="0"/>
          <w:numId w:val="46"/>
        </w:numPr>
        <w:tabs>
          <w:tab w:val="left" w:pos="720"/>
        </w:tabs>
      </w:pPr>
      <w:r>
        <w:t xml:space="preserve">The Florida Senate has just released </w:t>
      </w:r>
      <w:r w:rsidR="0005012E">
        <w:t>its</w:t>
      </w:r>
      <w:r>
        <w:t xml:space="preserve"> list of approved “interim projects” for its committees to work on. One such project for the Regulated Industries Committee is to ascertain, using the criteria set forth in s. 11.62, F. S., whether </w:t>
      </w:r>
      <w:r w:rsidRPr="00F21394">
        <w:rPr>
          <w:b/>
        </w:rPr>
        <w:t>irrigation contractors</w:t>
      </w:r>
      <w:r>
        <w:t xml:space="preserve"> should be subject o statewide regulation. If the committee report, due on September 1, 2011, determines that such a category should be established, it can file a bill requiring such new licensure, most likely under the Construction Industry Licensing Board.</w:t>
      </w:r>
    </w:p>
    <w:tbl>
      <w:tblPr>
        <w:tblW w:w="4900" w:type="pct"/>
        <w:jc w:val="center"/>
        <w:tblCellSpacing w:w="0" w:type="dxa"/>
        <w:tblCellMar>
          <w:top w:w="15" w:type="dxa"/>
          <w:left w:w="15" w:type="dxa"/>
          <w:bottom w:w="15" w:type="dxa"/>
          <w:right w:w="15" w:type="dxa"/>
        </w:tblCellMar>
        <w:tblLook w:val="04A0"/>
      </w:tblPr>
      <w:tblGrid>
        <w:gridCol w:w="9484"/>
      </w:tblGrid>
      <w:tr w:rsidR="00B94BF6" w:rsidTr="00B94BF6">
        <w:trPr>
          <w:tblCellSpacing w:w="0"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5380"/>
              <w:gridCol w:w="4074"/>
            </w:tblGrid>
            <w:tr w:rsidR="00B94BF6">
              <w:trPr>
                <w:tblCellSpacing w:w="0" w:type="dxa"/>
              </w:trPr>
              <w:tc>
                <w:tcPr>
                  <w:tcW w:w="0" w:type="auto"/>
                  <w:tcMar>
                    <w:top w:w="45" w:type="dxa"/>
                    <w:left w:w="75" w:type="dxa"/>
                    <w:bottom w:w="45" w:type="dxa"/>
                    <w:right w:w="75" w:type="dxa"/>
                  </w:tcMar>
                  <w:vAlign w:val="center"/>
                  <w:hideMark/>
                </w:tcPr>
                <w:p w:rsidR="00B94BF6" w:rsidRDefault="00F21394" w:rsidP="00F21394">
                  <w:pPr>
                    <w:rPr>
                      <w:rFonts w:ascii="Arial" w:hAnsi="Arial" w:cs="Arial"/>
                      <w:b/>
                      <w:bCs/>
                      <w:color w:val="FFFFFF"/>
                      <w:sz w:val="20"/>
                      <w:szCs w:val="20"/>
                    </w:rPr>
                  </w:pPr>
                  <w:r>
                    <w:rPr>
                      <w:rFonts w:ascii="Arial" w:hAnsi="Arial" w:cs="Arial"/>
                      <w:b/>
                      <w:bCs/>
                      <w:color w:val="FFFFFF"/>
                      <w:sz w:val="20"/>
                      <w:szCs w:val="20"/>
                    </w:rPr>
                    <w:t> </w:t>
                  </w:r>
                </w:p>
              </w:tc>
              <w:tc>
                <w:tcPr>
                  <w:tcW w:w="0" w:type="auto"/>
                  <w:tcMar>
                    <w:top w:w="45" w:type="dxa"/>
                    <w:left w:w="75" w:type="dxa"/>
                    <w:bottom w:w="45" w:type="dxa"/>
                    <w:right w:w="75" w:type="dxa"/>
                  </w:tcMar>
                  <w:vAlign w:val="center"/>
                  <w:hideMark/>
                </w:tcPr>
                <w:p w:rsidR="00B94BF6" w:rsidRDefault="00B94BF6">
                  <w:pPr>
                    <w:jc w:val="right"/>
                    <w:rPr>
                      <w:rFonts w:ascii="Arial" w:hAnsi="Arial" w:cs="Arial"/>
                      <w:b/>
                      <w:bCs/>
                      <w:color w:val="FFFFFF"/>
                      <w:sz w:val="20"/>
                      <w:szCs w:val="20"/>
                    </w:rPr>
                  </w:pPr>
                </w:p>
              </w:tc>
            </w:tr>
          </w:tbl>
          <w:p w:rsidR="00B94BF6" w:rsidRDefault="00B94BF6">
            <w:pPr>
              <w:rPr>
                <w:rFonts w:ascii="Arial" w:hAnsi="Arial" w:cs="Arial"/>
                <w:sz w:val="20"/>
                <w:szCs w:val="20"/>
              </w:rPr>
            </w:pPr>
          </w:p>
        </w:tc>
      </w:tr>
    </w:tbl>
    <w:p w:rsidR="000B76DD" w:rsidRDefault="000B76DD" w:rsidP="002C5E1D">
      <w:pPr>
        <w:pStyle w:val="BlockText"/>
      </w:pPr>
      <w:r>
        <w:t>Respectfully submitted,</w:t>
      </w:r>
    </w:p>
    <w:p w:rsidR="002C5E1D" w:rsidRDefault="002B0DFC" w:rsidP="002C5E1D">
      <w:pPr>
        <w:pStyle w:val="BlockText"/>
      </w:pPr>
      <w:r>
        <w:t>July 8</w:t>
      </w:r>
      <w:r w:rsidR="00D17EF8">
        <w:t>, 2011</w:t>
      </w:r>
    </w:p>
    <w:p w:rsidR="002C5E1D" w:rsidRDefault="002C5E1D" w:rsidP="002C5E1D">
      <w:pPr>
        <w:pStyle w:val="BlockText"/>
      </w:pPr>
    </w:p>
    <w:p w:rsidR="00251EB1" w:rsidRDefault="002C5E1D" w:rsidP="00F9535D">
      <w:pPr>
        <w:pStyle w:val="BlockText"/>
      </w:pPr>
      <w:r>
        <w:t>-end of report-</w:t>
      </w:r>
    </w:p>
    <w:sectPr w:rsidR="00251EB1"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C59" w:rsidRDefault="009D3C59" w:rsidP="009A2CBA">
      <w:r>
        <w:separator/>
      </w:r>
    </w:p>
  </w:endnote>
  <w:endnote w:type="continuationSeparator" w:id="0">
    <w:p w:rsidR="009D3C59" w:rsidRDefault="009D3C59"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00" w:rsidRDefault="00F301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Default="007755F6" w:rsidP="000421B5">
    <w:pPr>
      <w:pStyle w:val="Footer"/>
    </w:pPr>
    <w:r>
      <w:tab/>
    </w:r>
    <w:fldSimple w:instr=" PAGE   \* MERGEFORMAT ">
      <w:r w:rsidR="006C25B1">
        <w:rPr>
          <w:noProof/>
        </w:rPr>
        <w:t>2</w:t>
      </w:r>
    </w:fldSimple>
  </w:p>
  <w:p w:rsidR="007755F6" w:rsidRPr="00911FE4" w:rsidRDefault="00F30100" w:rsidP="000421B5">
    <w:pPr>
      <w:pStyle w:val="Footer"/>
      <w:rPr>
        <w:rStyle w:val="DocID"/>
      </w:rPr>
    </w:pPr>
    <w:r w:rsidRPr="00F30100">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Pr="00911FE4" w:rsidRDefault="00B122BC" w:rsidP="000421B5">
    <w:pPr>
      <w:pStyle w:val="Footer"/>
      <w:rPr>
        <w:rStyle w:val="DocID"/>
      </w:rPr>
    </w:pPr>
    <w:r>
      <w:rPr>
        <w:sz w:val="20"/>
      </w:rPr>
      <w:fldChar w:fldCharType="begin"/>
    </w:r>
    <w:r w:rsidR="007755F6">
      <w:rPr>
        <w:sz w:val="20"/>
      </w:rPr>
      <w:instrText xml:space="preserve"> If </w:instrText>
    </w:r>
    <w:r>
      <w:rPr>
        <w:sz w:val="20"/>
      </w:rPr>
      <w:fldChar w:fldCharType="begin"/>
    </w:r>
    <w:r w:rsidR="007755F6">
      <w:rPr>
        <w:sz w:val="20"/>
      </w:rPr>
      <w:instrText xml:space="preserve"> numpages </w:instrText>
    </w:r>
    <w:r>
      <w:rPr>
        <w:sz w:val="20"/>
      </w:rPr>
      <w:fldChar w:fldCharType="separate"/>
    </w:r>
    <w:r w:rsidR="006C25B1">
      <w:rPr>
        <w:noProof/>
        <w:sz w:val="20"/>
      </w:rPr>
      <w:instrText>1</w:instrText>
    </w:r>
    <w:r>
      <w:rPr>
        <w:sz w:val="20"/>
      </w:rPr>
      <w:fldChar w:fldCharType="end"/>
    </w:r>
    <w:r w:rsidR="007755F6">
      <w:rPr>
        <w:sz w:val="20"/>
      </w:rPr>
      <w:instrText xml:space="preserve"> = 1 </w:instrText>
    </w:r>
    <w:r w:rsidR="007755F6" w:rsidRPr="00F4233A">
      <w:rPr>
        <w:rStyle w:val="DocID"/>
      </w:rPr>
      <w:instrText>#9751992_v1</w:instrText>
    </w:r>
    <w:r w:rsidR="007755F6">
      <w:instrText xml:space="preserve"> ""</w:instrText>
    </w:r>
    <w:r w:rsidR="007755F6">
      <w:rPr>
        <w:sz w:val="20"/>
      </w:rPr>
      <w:instrText xml:space="preserve"> </w:instrText>
    </w:r>
    <w:r w:rsidR="006C25B1">
      <w:rPr>
        <w:sz w:val="20"/>
      </w:rPr>
      <w:fldChar w:fldCharType="separate"/>
    </w:r>
    <w:r w:rsidR="006C25B1"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C59" w:rsidRDefault="009D3C59" w:rsidP="009A2CBA">
      <w:r>
        <w:separator/>
      </w:r>
    </w:p>
  </w:footnote>
  <w:footnote w:type="continuationSeparator" w:id="0">
    <w:p w:rsidR="009D3C59" w:rsidRDefault="009D3C59" w:rsidP="009A2CBA">
      <w:r>
        <w:continuationSeparator/>
      </w:r>
    </w:p>
  </w:footnote>
  <w:footnote w:id="1">
    <w:p w:rsidR="00D51EF8" w:rsidRDefault="00D51EF8">
      <w:pPr>
        <w:pStyle w:val="FootnoteText"/>
      </w:pPr>
      <w:r>
        <w:rPr>
          <w:rStyle w:val="FootnoteReference"/>
        </w:rPr>
        <w:footnoteRef/>
      </w:r>
      <w:r>
        <w:t xml:space="preserve"> In such matters, DOAH serves solely as the finder of facts, and only has authority to issue a “recommended” order; as the final finder of the law, subject to judicial appeal, the agency can </w:t>
      </w:r>
      <w:r w:rsidR="00A52BEC">
        <w:t>reject</w:t>
      </w:r>
      <w:r>
        <w:t>, modify or accept such an order.</w:t>
      </w:r>
    </w:p>
  </w:footnote>
  <w:footnote w:id="2">
    <w:p w:rsidR="007755F6" w:rsidRDefault="007755F6"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7755F6" w:rsidRDefault="007755F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00" w:rsidRDefault="00F301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00" w:rsidRDefault="00F301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00" w:rsidRDefault="00F301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6D1642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cVars>
    <w:docVar w:name="LegacyDocIDRemoved" w:val="True"/>
  </w:docVars>
  <w:rsids>
    <w:rsidRoot w:val="00D8155F"/>
    <w:rsid w:val="00011776"/>
    <w:rsid w:val="00016A29"/>
    <w:rsid w:val="00027FC3"/>
    <w:rsid w:val="000302BC"/>
    <w:rsid w:val="000421B5"/>
    <w:rsid w:val="0005012E"/>
    <w:rsid w:val="00084298"/>
    <w:rsid w:val="000A4BA4"/>
    <w:rsid w:val="000B76DD"/>
    <w:rsid w:val="000D2555"/>
    <w:rsid w:val="000F6911"/>
    <w:rsid w:val="00110D3B"/>
    <w:rsid w:val="001114F7"/>
    <w:rsid w:val="001148B5"/>
    <w:rsid w:val="001156AF"/>
    <w:rsid w:val="00117544"/>
    <w:rsid w:val="00126ABD"/>
    <w:rsid w:val="00146E4E"/>
    <w:rsid w:val="001476D7"/>
    <w:rsid w:val="00151F43"/>
    <w:rsid w:val="00172C04"/>
    <w:rsid w:val="00175923"/>
    <w:rsid w:val="00184979"/>
    <w:rsid w:val="0019065B"/>
    <w:rsid w:val="001963BC"/>
    <w:rsid w:val="001B11FD"/>
    <w:rsid w:val="001B73F6"/>
    <w:rsid w:val="001D1B70"/>
    <w:rsid w:val="001D50A8"/>
    <w:rsid w:val="001E327E"/>
    <w:rsid w:val="001F18CD"/>
    <w:rsid w:val="001F7DB9"/>
    <w:rsid w:val="00221926"/>
    <w:rsid w:val="00221AAE"/>
    <w:rsid w:val="002236E8"/>
    <w:rsid w:val="0022445A"/>
    <w:rsid w:val="00227443"/>
    <w:rsid w:val="002348A5"/>
    <w:rsid w:val="00236AB0"/>
    <w:rsid w:val="00237AEC"/>
    <w:rsid w:val="00243FF8"/>
    <w:rsid w:val="00246D22"/>
    <w:rsid w:val="00251EB1"/>
    <w:rsid w:val="00252DC4"/>
    <w:rsid w:val="002630F7"/>
    <w:rsid w:val="002857BE"/>
    <w:rsid w:val="00294F80"/>
    <w:rsid w:val="002A4DD8"/>
    <w:rsid w:val="002B0DFC"/>
    <w:rsid w:val="002B3E98"/>
    <w:rsid w:val="002C378F"/>
    <w:rsid w:val="002C5E1D"/>
    <w:rsid w:val="002D4362"/>
    <w:rsid w:val="002E2A6D"/>
    <w:rsid w:val="00305D83"/>
    <w:rsid w:val="00305FDE"/>
    <w:rsid w:val="00311BC1"/>
    <w:rsid w:val="003134D3"/>
    <w:rsid w:val="0032598E"/>
    <w:rsid w:val="003319A7"/>
    <w:rsid w:val="003376F7"/>
    <w:rsid w:val="00340637"/>
    <w:rsid w:val="00340740"/>
    <w:rsid w:val="00345235"/>
    <w:rsid w:val="003473F4"/>
    <w:rsid w:val="00383EFB"/>
    <w:rsid w:val="003A1E91"/>
    <w:rsid w:val="003A33A5"/>
    <w:rsid w:val="003A4FB0"/>
    <w:rsid w:val="003C09F0"/>
    <w:rsid w:val="003D34DF"/>
    <w:rsid w:val="003E13A7"/>
    <w:rsid w:val="004200FB"/>
    <w:rsid w:val="00465432"/>
    <w:rsid w:val="00484B9C"/>
    <w:rsid w:val="004A451E"/>
    <w:rsid w:val="004A582F"/>
    <w:rsid w:val="004C63D8"/>
    <w:rsid w:val="004F3D87"/>
    <w:rsid w:val="00500503"/>
    <w:rsid w:val="00504537"/>
    <w:rsid w:val="00512724"/>
    <w:rsid w:val="005237C4"/>
    <w:rsid w:val="005463F4"/>
    <w:rsid w:val="005A61CC"/>
    <w:rsid w:val="005C40F9"/>
    <w:rsid w:val="005F1FB3"/>
    <w:rsid w:val="005F4A79"/>
    <w:rsid w:val="00600D46"/>
    <w:rsid w:val="00614279"/>
    <w:rsid w:val="0063517A"/>
    <w:rsid w:val="00667D54"/>
    <w:rsid w:val="00675E10"/>
    <w:rsid w:val="00685808"/>
    <w:rsid w:val="006A3A6B"/>
    <w:rsid w:val="006B1D63"/>
    <w:rsid w:val="006C25B1"/>
    <w:rsid w:val="006D3AD0"/>
    <w:rsid w:val="006E5C27"/>
    <w:rsid w:val="006F336C"/>
    <w:rsid w:val="007017B0"/>
    <w:rsid w:val="0070218E"/>
    <w:rsid w:val="007065A1"/>
    <w:rsid w:val="007150E1"/>
    <w:rsid w:val="00774A2B"/>
    <w:rsid w:val="007755F6"/>
    <w:rsid w:val="00780CCE"/>
    <w:rsid w:val="00793514"/>
    <w:rsid w:val="007977D0"/>
    <w:rsid w:val="007A2C34"/>
    <w:rsid w:val="007A7335"/>
    <w:rsid w:val="007B455D"/>
    <w:rsid w:val="007E128E"/>
    <w:rsid w:val="00821688"/>
    <w:rsid w:val="008219AB"/>
    <w:rsid w:val="0082467E"/>
    <w:rsid w:val="00832281"/>
    <w:rsid w:val="0083319A"/>
    <w:rsid w:val="00833649"/>
    <w:rsid w:val="00864F61"/>
    <w:rsid w:val="008667F9"/>
    <w:rsid w:val="00875906"/>
    <w:rsid w:val="00883771"/>
    <w:rsid w:val="0089089A"/>
    <w:rsid w:val="008A7FFE"/>
    <w:rsid w:val="008B10F9"/>
    <w:rsid w:val="008B6B8E"/>
    <w:rsid w:val="008B6F95"/>
    <w:rsid w:val="008C44B6"/>
    <w:rsid w:val="008C57F6"/>
    <w:rsid w:val="008C6567"/>
    <w:rsid w:val="0090334E"/>
    <w:rsid w:val="009037AF"/>
    <w:rsid w:val="00912B18"/>
    <w:rsid w:val="00933C83"/>
    <w:rsid w:val="0095190E"/>
    <w:rsid w:val="00972224"/>
    <w:rsid w:val="0098369B"/>
    <w:rsid w:val="00990086"/>
    <w:rsid w:val="00994DC4"/>
    <w:rsid w:val="009A10B6"/>
    <w:rsid w:val="009A2CBA"/>
    <w:rsid w:val="009B472E"/>
    <w:rsid w:val="009C6F42"/>
    <w:rsid w:val="009D3C59"/>
    <w:rsid w:val="009E1F25"/>
    <w:rsid w:val="009F3454"/>
    <w:rsid w:val="00A03908"/>
    <w:rsid w:val="00A24F93"/>
    <w:rsid w:val="00A47BAD"/>
    <w:rsid w:val="00A47D5F"/>
    <w:rsid w:val="00A52BEC"/>
    <w:rsid w:val="00A862A4"/>
    <w:rsid w:val="00A92BA2"/>
    <w:rsid w:val="00AA49B9"/>
    <w:rsid w:val="00AB6124"/>
    <w:rsid w:val="00AB7A77"/>
    <w:rsid w:val="00AD19E4"/>
    <w:rsid w:val="00AD3673"/>
    <w:rsid w:val="00AD4A48"/>
    <w:rsid w:val="00AE4928"/>
    <w:rsid w:val="00B11BE8"/>
    <w:rsid w:val="00B122BC"/>
    <w:rsid w:val="00B1354A"/>
    <w:rsid w:val="00B43413"/>
    <w:rsid w:val="00B51F07"/>
    <w:rsid w:val="00B55AA9"/>
    <w:rsid w:val="00B605B3"/>
    <w:rsid w:val="00B6409D"/>
    <w:rsid w:val="00B65A78"/>
    <w:rsid w:val="00B75D21"/>
    <w:rsid w:val="00B82F44"/>
    <w:rsid w:val="00B854DA"/>
    <w:rsid w:val="00B94BF6"/>
    <w:rsid w:val="00BB43FD"/>
    <w:rsid w:val="00BC3ED9"/>
    <w:rsid w:val="00BD0579"/>
    <w:rsid w:val="00BE31B7"/>
    <w:rsid w:val="00BF5744"/>
    <w:rsid w:val="00C0615F"/>
    <w:rsid w:val="00C10FB4"/>
    <w:rsid w:val="00C15A97"/>
    <w:rsid w:val="00C17A11"/>
    <w:rsid w:val="00C41104"/>
    <w:rsid w:val="00C42CAD"/>
    <w:rsid w:val="00C46B9E"/>
    <w:rsid w:val="00C527C3"/>
    <w:rsid w:val="00C552DE"/>
    <w:rsid w:val="00C613B0"/>
    <w:rsid w:val="00C71560"/>
    <w:rsid w:val="00C80F74"/>
    <w:rsid w:val="00C8621F"/>
    <w:rsid w:val="00CA1872"/>
    <w:rsid w:val="00CA1D5A"/>
    <w:rsid w:val="00CB393B"/>
    <w:rsid w:val="00CD02EB"/>
    <w:rsid w:val="00CF7C33"/>
    <w:rsid w:val="00D17EF8"/>
    <w:rsid w:val="00D31E05"/>
    <w:rsid w:val="00D42313"/>
    <w:rsid w:val="00D45220"/>
    <w:rsid w:val="00D51EF8"/>
    <w:rsid w:val="00D5683A"/>
    <w:rsid w:val="00D6075F"/>
    <w:rsid w:val="00D64A8A"/>
    <w:rsid w:val="00D8155F"/>
    <w:rsid w:val="00D92897"/>
    <w:rsid w:val="00D9771C"/>
    <w:rsid w:val="00D97BF8"/>
    <w:rsid w:val="00DA5E85"/>
    <w:rsid w:val="00DB1B72"/>
    <w:rsid w:val="00DD18B8"/>
    <w:rsid w:val="00DD5BF9"/>
    <w:rsid w:val="00DE0FB7"/>
    <w:rsid w:val="00DE3DD6"/>
    <w:rsid w:val="00DE517B"/>
    <w:rsid w:val="00DE5A5D"/>
    <w:rsid w:val="00DF4C21"/>
    <w:rsid w:val="00E10E84"/>
    <w:rsid w:val="00E311DC"/>
    <w:rsid w:val="00E3534A"/>
    <w:rsid w:val="00E4444A"/>
    <w:rsid w:val="00E95DE1"/>
    <w:rsid w:val="00E97E26"/>
    <w:rsid w:val="00EA3A1A"/>
    <w:rsid w:val="00EB0314"/>
    <w:rsid w:val="00EB2DD7"/>
    <w:rsid w:val="00EB56F6"/>
    <w:rsid w:val="00EC3C0E"/>
    <w:rsid w:val="00EF1953"/>
    <w:rsid w:val="00EF3BC8"/>
    <w:rsid w:val="00F003DC"/>
    <w:rsid w:val="00F023FE"/>
    <w:rsid w:val="00F0773C"/>
    <w:rsid w:val="00F10ABD"/>
    <w:rsid w:val="00F15B84"/>
    <w:rsid w:val="00F21394"/>
    <w:rsid w:val="00F30100"/>
    <w:rsid w:val="00F33F66"/>
    <w:rsid w:val="00F4233A"/>
    <w:rsid w:val="00F52831"/>
    <w:rsid w:val="00F53B73"/>
    <w:rsid w:val="00F61714"/>
    <w:rsid w:val="00F7015E"/>
    <w:rsid w:val="00F828AE"/>
    <w:rsid w:val="00F9398C"/>
    <w:rsid w:val="00F9535D"/>
    <w:rsid w:val="00F97BF7"/>
    <w:rsid w:val="00FA2710"/>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1691</Words>
  <Characters>9290</Characters>
  <Application>Microsoft Office Word</Application>
  <DocSecurity>0</DocSecurity>
  <Lines>202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cp:lastModifiedBy>
  <cp:revision>2</cp:revision>
  <cp:lastPrinted>2011-07-11T13:45:00Z</cp:lastPrinted>
  <dcterms:created xsi:type="dcterms:W3CDTF">2011-07-11T13:47:00Z</dcterms:created>
  <dcterms:modified xsi:type="dcterms:W3CDTF">2011-07-11T13:47:00Z</dcterms:modified>
  <cp:category/>
</cp:coreProperties>
</file>