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F9535D" w:rsidRPr="00B82F44" w:rsidRDefault="00F9535D" w:rsidP="00D8155F">
      <w:pPr>
        <w:pStyle w:val="BlockText"/>
        <w:jc w:val="center"/>
        <w:rPr>
          <w:b/>
          <w:sz w:val="28"/>
          <w:szCs w:val="28"/>
        </w:rPr>
      </w:pPr>
      <w:r w:rsidRPr="00B82F44">
        <w:rPr>
          <w:b/>
          <w:sz w:val="28"/>
          <w:szCs w:val="28"/>
        </w:rPr>
        <w:t>Construction Law Committee</w:t>
      </w:r>
    </w:p>
    <w:p w:rsidR="009A10B6" w:rsidRPr="001476D7" w:rsidRDefault="009A10B6" w:rsidP="00D8155F">
      <w:pPr>
        <w:pStyle w:val="BlockText"/>
        <w:jc w:val="center"/>
        <w:rPr>
          <w:b/>
        </w:rPr>
      </w:pPr>
    </w:p>
    <w:p w:rsidR="00F9535D" w:rsidRPr="001476D7" w:rsidRDefault="00DE5A5D" w:rsidP="00D8155F">
      <w:pPr>
        <w:pStyle w:val="BlockText"/>
        <w:jc w:val="center"/>
        <w:rPr>
          <w:b/>
          <w:i/>
          <w:u w:val="single"/>
        </w:rPr>
      </w:pPr>
      <w:r>
        <w:rPr>
          <w:b/>
          <w:i/>
          <w:u w:val="single"/>
        </w:rPr>
        <w:t>Construction Regulation</w:t>
      </w:r>
      <w:r w:rsidR="00F9535D" w:rsidRPr="001476D7">
        <w:rPr>
          <w:b/>
          <w:i/>
          <w:u w:val="single"/>
        </w:rPr>
        <w:t xml:space="preserve"> Subcommittee</w:t>
      </w:r>
      <w:r w:rsidR="00251EB1" w:rsidRPr="001476D7">
        <w:rPr>
          <w:b/>
          <w:i/>
          <w:u w:val="single"/>
        </w:rPr>
        <w:t xml:space="preserve"> Monthly Report</w:t>
      </w:r>
    </w:p>
    <w:p w:rsidR="00F9535D" w:rsidRDefault="001476D7" w:rsidP="00D8155F">
      <w:pPr>
        <w:pStyle w:val="BlockText"/>
        <w:jc w:val="center"/>
      </w:pPr>
      <w:r>
        <w:t>Month of</w:t>
      </w:r>
      <w:r w:rsidR="00512724">
        <w:t>: June</w:t>
      </w:r>
      <w:r w:rsidR="004A582F">
        <w:t xml:space="preserve"> 2011</w:t>
      </w:r>
    </w:p>
    <w:p w:rsidR="00D9771C" w:rsidRDefault="00D9771C" w:rsidP="00F9535D">
      <w:pPr>
        <w:pStyle w:val="BlockText"/>
      </w:pPr>
    </w:p>
    <w:p w:rsidR="00D9771C" w:rsidRDefault="00D9771C" w:rsidP="00D9771C">
      <w:pPr>
        <w:pStyle w:val="BlockText"/>
        <w:rPr>
          <w:b/>
          <w:u w:val="single"/>
        </w:rPr>
      </w:pPr>
      <w:r w:rsidRPr="00D9771C">
        <w:rPr>
          <w:b/>
          <w:u w:val="single"/>
        </w:rPr>
        <w:t>Appellate Decisions:</w:t>
      </w:r>
    </w:p>
    <w:p w:rsidR="001B11FD" w:rsidRDefault="001B11FD" w:rsidP="00D9771C">
      <w:pPr>
        <w:pStyle w:val="BlockText"/>
        <w:rPr>
          <w:b/>
          <w:u w:val="single"/>
        </w:rPr>
      </w:pPr>
    </w:p>
    <w:p w:rsidR="00833649" w:rsidRDefault="001B11FD" w:rsidP="00512724">
      <w:pPr>
        <w:pStyle w:val="BlockText"/>
      </w:pPr>
      <w:r>
        <w:tab/>
      </w:r>
      <w:r w:rsidR="00512724" w:rsidRPr="00512724">
        <w:rPr>
          <w:i/>
          <w:u w:val="single"/>
        </w:rPr>
        <w:t>RJG Environmental, Inc. v. State Farm Florida Insurance Company</w:t>
      </w:r>
      <w:r w:rsidR="00512724">
        <w:t>, Case No. 2D10-4215 and 2D10-4216, filed May 18, 2011: Transfer of venue from Manatee County to Palm Beach County was affirmed, based on convenience of witnesses and location of construction services, even though payment from insurer lie in Manatee County. The court held that the debtor-creditor rule does not apply to unliquidated amounts, as were being claimed in this action based on owner’s assignment of insurance benefits to contractor.</w:t>
      </w:r>
    </w:p>
    <w:p w:rsidR="00512724" w:rsidRDefault="00512724" w:rsidP="00512724">
      <w:pPr>
        <w:pStyle w:val="BlockText"/>
      </w:pPr>
    </w:p>
    <w:p w:rsidR="00512724" w:rsidRDefault="00512724" w:rsidP="00512724">
      <w:pPr>
        <w:pStyle w:val="BlockText"/>
      </w:pPr>
      <w:r>
        <w:tab/>
      </w:r>
      <w:r w:rsidR="009037AF" w:rsidRPr="009037AF">
        <w:rPr>
          <w:i/>
          <w:u w:val="single"/>
        </w:rPr>
        <w:t>Tatyana Nudel v. Flagstar Bank, FSB</w:t>
      </w:r>
      <w:r w:rsidR="009037AF">
        <w:t>, Case No. 4D10-3001, filed May 18, 2011: Held that a defendant is entitle to recover attorney’s fees as the “prevailing party” pursuant to s. 57.105(7), after the court granted defendant’s motion to dismiss a mortgage foreclosure action without prejudice, and that such an award for fees, if made within 30 days of dismissal, was not waived. The court noted that the mortgagee’s right to re-file the foreclosure action and possible ultimate prevailing thereon would not prevent defendant from being entitled to fees incurred for the dismissal.</w:t>
      </w:r>
    </w:p>
    <w:p w:rsidR="009037AF" w:rsidRDefault="009037AF" w:rsidP="00512724">
      <w:pPr>
        <w:pStyle w:val="BlockText"/>
      </w:pPr>
    </w:p>
    <w:p w:rsidR="009037AF" w:rsidRDefault="009037AF" w:rsidP="00512724">
      <w:pPr>
        <w:pStyle w:val="BlockText"/>
      </w:pPr>
      <w:r>
        <w:tab/>
      </w:r>
      <w:r w:rsidRPr="009037AF">
        <w:rPr>
          <w:i/>
          <w:u w:val="single"/>
        </w:rPr>
        <w:t>Tierra Holdings, Ltd., v. Mercantile Bank</w:t>
      </w:r>
      <w:r>
        <w:t>, Case No. 1D10-1886, filed May 18, 2011: Affirmed trial court’s award (after initial appeal and remand) of net judgment for attorney’s fees, one based on a s. 768.79 offer of judgment and the based on a contractual provision for fees.</w:t>
      </w:r>
      <w:r w:rsidR="00675E10">
        <w:t xml:space="preserve"> In doing so, t</w:t>
      </w:r>
      <w:r>
        <w:t>he court held that the offer of judgment statute did not modify the contractual provision for attorney’s fees</w:t>
      </w:r>
      <w:r w:rsidR="00675E10">
        <w:t>.</w:t>
      </w:r>
    </w:p>
    <w:p w:rsidR="00D5683A" w:rsidRPr="00D5683A" w:rsidRDefault="00D5683A" w:rsidP="00D9771C">
      <w:pPr>
        <w:pStyle w:val="BlockText"/>
      </w:pPr>
    </w:p>
    <w:p w:rsidR="00D9771C" w:rsidRDefault="00D9771C" w:rsidP="00D9771C">
      <w:pPr>
        <w:pStyle w:val="BlockText"/>
      </w:pPr>
      <w:r w:rsidRPr="00D9771C">
        <w:rPr>
          <w:b/>
          <w:u w:val="single"/>
        </w:rPr>
        <w:t>DOAH Orders:</w:t>
      </w:r>
      <w:r w:rsidR="0083319A">
        <w:t xml:space="preserve"> </w:t>
      </w:r>
    </w:p>
    <w:p w:rsidR="00F15B84" w:rsidRDefault="00F15B84" w:rsidP="00D9771C">
      <w:pPr>
        <w:pStyle w:val="BlockText"/>
      </w:pPr>
    </w:p>
    <w:p w:rsidR="002C5E1D" w:rsidRDefault="00DA5E85" w:rsidP="00F9535D">
      <w:pPr>
        <w:pStyle w:val="BlockText"/>
      </w:pPr>
      <w:r>
        <w:tab/>
      </w:r>
      <w:r w:rsidR="00221926">
        <w:t>(Nothing to report)</w:t>
      </w:r>
    </w:p>
    <w:p w:rsidR="00675E10" w:rsidRDefault="00675E10" w:rsidP="00F9535D">
      <w:pPr>
        <w:pStyle w:val="BlockText"/>
        <w:rPr>
          <w:b/>
          <w:u w:val="single"/>
        </w:rPr>
      </w:pPr>
    </w:p>
    <w:p w:rsidR="00172C04" w:rsidRDefault="00D9771C" w:rsidP="00F9535D">
      <w:pPr>
        <w:pStyle w:val="BlockText"/>
        <w:rPr>
          <w:b/>
        </w:rPr>
      </w:pPr>
      <w:r w:rsidRPr="00D9771C">
        <w:rPr>
          <w:b/>
          <w:u w:val="single"/>
        </w:rPr>
        <w:t>Agency Actions:</w:t>
      </w:r>
      <w:r w:rsidR="00AE4928">
        <w:rPr>
          <w:b/>
        </w:rPr>
        <w:t xml:space="preserve"> </w:t>
      </w:r>
    </w:p>
    <w:p w:rsidR="00172C04" w:rsidRDefault="00172C04" w:rsidP="00F9535D">
      <w:pPr>
        <w:pStyle w:val="BlockText"/>
        <w:rPr>
          <w:b/>
        </w:rPr>
      </w:pPr>
    </w:p>
    <w:p w:rsidR="00D9771C" w:rsidRPr="00AE4928" w:rsidRDefault="00AE4928" w:rsidP="00F9535D">
      <w:pPr>
        <w:pStyle w:val="BlockText"/>
        <w:rPr>
          <w:b/>
        </w:rPr>
      </w:pPr>
      <w:r>
        <w:rPr>
          <w:b/>
        </w:rPr>
        <w:t>Note that DBPR is beginning to promulgate rules again since the Governor’s Executive Order of January, 2011, “freezing” new rules.</w:t>
      </w:r>
    </w:p>
    <w:p w:rsidR="0098369B" w:rsidRDefault="0098369B" w:rsidP="00F9535D">
      <w:pPr>
        <w:pStyle w:val="BlockText"/>
      </w:pPr>
    </w:p>
    <w:p w:rsidR="00CA1872" w:rsidRDefault="0098369B" w:rsidP="00305FDE">
      <w:pPr>
        <w:pStyle w:val="BlockText"/>
        <w:numPr>
          <w:ilvl w:val="0"/>
          <w:numId w:val="30"/>
        </w:numPr>
      </w:pPr>
      <w:r w:rsidRPr="0098369B">
        <w:rPr>
          <w:b/>
        </w:rPr>
        <w:t>Business and Professional Regulation</w:t>
      </w:r>
      <w:r w:rsidR="00305FDE">
        <w:rPr>
          <w:b/>
        </w:rPr>
        <w:t>.</w:t>
      </w:r>
    </w:p>
    <w:p w:rsidR="00305FDE" w:rsidRDefault="00305FDE" w:rsidP="00305FDE">
      <w:pPr>
        <w:pStyle w:val="BlockText"/>
        <w:ind w:left="720"/>
      </w:pPr>
    </w:p>
    <w:p w:rsidR="004A582F" w:rsidRDefault="00F9535D" w:rsidP="004A582F">
      <w:pPr>
        <w:pStyle w:val="BlockText"/>
        <w:numPr>
          <w:ilvl w:val="0"/>
          <w:numId w:val="32"/>
        </w:numPr>
      </w:pPr>
      <w:r w:rsidRPr="00EF1953">
        <w:rPr>
          <w:u w:val="single"/>
        </w:rPr>
        <w:t>Constru</w:t>
      </w:r>
      <w:r w:rsidR="00CA1872" w:rsidRPr="00EF1953">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305FDE">
        <w:t>:</w:t>
      </w:r>
    </w:p>
    <w:p w:rsidR="004A582F" w:rsidRDefault="004A582F" w:rsidP="004A582F">
      <w:pPr>
        <w:pStyle w:val="BlockText"/>
        <w:ind w:left="1080"/>
      </w:pPr>
    </w:p>
    <w:p w:rsidR="00DA5E85" w:rsidRDefault="00221926" w:rsidP="005463F4">
      <w:pPr>
        <w:pStyle w:val="ListParagraph"/>
        <w:numPr>
          <w:ilvl w:val="1"/>
          <w:numId w:val="32"/>
        </w:numPr>
        <w:jc w:val="both"/>
      </w:pPr>
      <w:r>
        <w:t>On May 9</w:t>
      </w:r>
      <w:r w:rsidR="00221AAE">
        <w:t>, 2011, the board received a</w:t>
      </w:r>
      <w:r w:rsidR="00DA5E85">
        <w:t xml:space="preserve"> Petitio</w:t>
      </w:r>
      <w:r w:rsidR="00221AAE">
        <w:t xml:space="preserve">n for </w:t>
      </w:r>
      <w:r>
        <w:t>Declaratory Statement from Erin Sims</w:t>
      </w:r>
      <w:r w:rsidR="00221AAE">
        <w:t>, seeking</w:t>
      </w:r>
      <w:r w:rsidR="0022445A">
        <w:t xml:space="preserve"> </w:t>
      </w:r>
      <w:r>
        <w:t xml:space="preserve">a determination of </w:t>
      </w:r>
      <w:r w:rsidR="0022445A">
        <w:t xml:space="preserve">whether an </w:t>
      </w:r>
      <w:r>
        <w:t>irrigation contractor’s scope of work includes installation of a backflow preventer.</w:t>
      </w:r>
    </w:p>
    <w:p w:rsidR="00DA5E85" w:rsidRPr="005B5C50" w:rsidRDefault="00DA5E85" w:rsidP="005463F4">
      <w:pPr>
        <w:pStyle w:val="ListParagraph"/>
        <w:ind w:left="1800"/>
        <w:jc w:val="both"/>
        <w:rPr>
          <w:rFonts w:eastAsia="Times New Roman" w:cs="Times New Roman"/>
        </w:rPr>
      </w:pPr>
    </w:p>
    <w:p w:rsidR="00DA5E85" w:rsidRDefault="007755F6" w:rsidP="005463F4">
      <w:pPr>
        <w:pStyle w:val="ListParagraph"/>
        <w:numPr>
          <w:ilvl w:val="1"/>
          <w:numId w:val="32"/>
        </w:numPr>
        <w:jc w:val="both"/>
      </w:pPr>
      <w:r>
        <w:lastRenderedPageBreak/>
        <w:t>A Petition for Declaratory State</w:t>
      </w:r>
      <w:r w:rsidR="00221926">
        <w:t>ment was filed on May 5</w:t>
      </w:r>
      <w:r w:rsidR="00221AAE">
        <w:t>, 2011</w:t>
      </w:r>
      <w:r>
        <w:t>,</w:t>
      </w:r>
      <w:r w:rsidR="00221AAE">
        <w:t xml:space="preserve"> by</w:t>
      </w:r>
      <w:r w:rsidR="00221926">
        <w:t xml:space="preserve"> Sandy Robinson on behalf of Putnam County,</w:t>
      </w:r>
      <w:r w:rsidR="00221AAE">
        <w:t xml:space="preserve"> </w:t>
      </w:r>
      <w:r w:rsidR="00221926">
        <w:t>seeking the board’s interpretation of s. 489.103(9), regarding whether an unlicensed person can perform a roof repair or partial replacement where the labor and materials are less than $1,000.</w:t>
      </w:r>
      <w:r w:rsidRPr="005B5C50">
        <w:t xml:space="preserve"> </w:t>
      </w:r>
    </w:p>
    <w:p w:rsidR="005A61CC" w:rsidRDefault="005A61CC" w:rsidP="005A61CC">
      <w:pPr>
        <w:pStyle w:val="ListParagraph"/>
      </w:pPr>
    </w:p>
    <w:p w:rsidR="005A61CC" w:rsidRDefault="00AE4928" w:rsidP="005463F4">
      <w:pPr>
        <w:pStyle w:val="ListParagraph"/>
        <w:numPr>
          <w:ilvl w:val="1"/>
          <w:numId w:val="32"/>
        </w:numPr>
        <w:jc w:val="both"/>
      </w:pPr>
      <w:r>
        <w:t>On May 12</w:t>
      </w:r>
      <w:r w:rsidR="005A61CC">
        <w:t xml:space="preserve">, 2011, the board </w:t>
      </w:r>
      <w:r w:rsidR="00221926">
        <w:t xml:space="preserve">received a Petition for Declaratory Statement </w:t>
      </w:r>
      <w:r w:rsidR="005A61CC">
        <w:t xml:space="preserve">filed </w:t>
      </w:r>
      <w:r w:rsidR="00221926">
        <w:t xml:space="preserve">by Jeff Mahlstedt, seeking the board’s interpretation of s. 489.105(3), whether a roofing contractor is licensed to </w:t>
      </w:r>
      <w:r w:rsidR="00172C04">
        <w:t>install</w:t>
      </w:r>
      <w:r w:rsidR="00221926">
        <w:t xml:space="preserve"> a tubular skylight.</w:t>
      </w:r>
    </w:p>
    <w:p w:rsidR="005A61CC" w:rsidRDefault="005A61CC" w:rsidP="005A61CC">
      <w:pPr>
        <w:pStyle w:val="ListParagraph"/>
      </w:pPr>
    </w:p>
    <w:p w:rsidR="00F10ABD" w:rsidRDefault="00F9535D" w:rsidP="007755F6">
      <w:pPr>
        <w:pStyle w:val="BlockText"/>
        <w:numPr>
          <w:ilvl w:val="0"/>
          <w:numId w:val="32"/>
        </w:numPr>
      </w:pPr>
      <w:r w:rsidRPr="007755F6">
        <w:rPr>
          <w:u w:val="single"/>
        </w:rPr>
        <w:t>Electric</w:t>
      </w:r>
      <w:r w:rsidR="00CA1872" w:rsidRPr="007755F6">
        <w:rPr>
          <w:u w:val="single"/>
        </w:rPr>
        <w:t>al Contracting Licensing Board</w:t>
      </w:r>
      <w:r w:rsidR="00305FDE">
        <w:t xml:space="preserve"> (includes both electricians and alarm contractors)</w:t>
      </w:r>
      <w:r w:rsidR="00CA1872">
        <w:t xml:space="preserve"> </w:t>
      </w:r>
      <w:r w:rsidR="00DA5E85">
        <w:t>– Chapter 489, Part II:</w:t>
      </w:r>
      <w:r w:rsidR="00E311DC">
        <w:t xml:space="preserve"> </w:t>
      </w:r>
      <w:r w:rsidR="00AE4928">
        <w:t xml:space="preserve"> </w:t>
      </w:r>
    </w:p>
    <w:p w:rsidR="00F10ABD" w:rsidRDefault="00F10ABD" w:rsidP="00F10ABD">
      <w:pPr>
        <w:pStyle w:val="BlockText"/>
        <w:ind w:left="1080"/>
      </w:pPr>
    </w:p>
    <w:p w:rsidR="00F10ABD" w:rsidRDefault="00AE4928" w:rsidP="00F10ABD">
      <w:pPr>
        <w:pStyle w:val="BlockText"/>
        <w:numPr>
          <w:ilvl w:val="1"/>
          <w:numId w:val="32"/>
        </w:numPr>
      </w:pPr>
      <w:r>
        <w:t>The board has proposed changes to the following rules:</w:t>
      </w:r>
    </w:p>
    <w:p w:rsidR="00172C04" w:rsidRDefault="00172C04" w:rsidP="00172C04">
      <w:pPr>
        <w:pStyle w:val="BlockText"/>
        <w:ind w:left="1800"/>
      </w:pPr>
    </w:p>
    <w:p w:rsidR="00172C04" w:rsidRDefault="00172C04" w:rsidP="00172C04">
      <w:pPr>
        <w:pStyle w:val="BlockText"/>
        <w:numPr>
          <w:ilvl w:val="2"/>
          <w:numId w:val="32"/>
        </w:numPr>
      </w:pPr>
      <w:r>
        <w:t>61G6-5.002 regarding changes for certification by examination and reexamination.</w:t>
      </w:r>
    </w:p>
    <w:p w:rsidR="00172C04" w:rsidRDefault="00172C04" w:rsidP="00172C04">
      <w:pPr>
        <w:pStyle w:val="BlockText"/>
        <w:ind w:left="2520"/>
      </w:pPr>
    </w:p>
    <w:p w:rsidR="00172C04" w:rsidRDefault="00172C04" w:rsidP="00172C04">
      <w:pPr>
        <w:pStyle w:val="BlockText"/>
        <w:numPr>
          <w:ilvl w:val="2"/>
          <w:numId w:val="32"/>
        </w:numPr>
      </w:pPr>
      <w:r>
        <w:t>61G6-5.003(2) regarding requirements for a financial statement.</w:t>
      </w:r>
    </w:p>
    <w:p w:rsidR="00172C04" w:rsidRDefault="00172C04" w:rsidP="00172C04">
      <w:pPr>
        <w:pStyle w:val="ListParagraph"/>
      </w:pPr>
    </w:p>
    <w:p w:rsidR="00172C04" w:rsidRDefault="00172C04" w:rsidP="00172C04">
      <w:pPr>
        <w:pStyle w:val="BlockText"/>
        <w:numPr>
          <w:ilvl w:val="2"/>
          <w:numId w:val="32"/>
        </w:numPr>
      </w:pPr>
      <w:r>
        <w:t>61G6-5.004, deleting subsection (1) requirement for a surety company     statement of bonding.</w:t>
      </w:r>
    </w:p>
    <w:p w:rsidR="00172C04" w:rsidRDefault="00172C04" w:rsidP="00172C04">
      <w:pPr>
        <w:pStyle w:val="BlockText"/>
      </w:pPr>
    </w:p>
    <w:p w:rsidR="00172C04" w:rsidRDefault="00172C04" w:rsidP="00172C04">
      <w:pPr>
        <w:pStyle w:val="BlockText"/>
        <w:numPr>
          <w:ilvl w:val="2"/>
          <w:numId w:val="32"/>
        </w:numPr>
      </w:pPr>
      <w:r>
        <w:t>61G6-7.001, regarding specialty electrical contractors notice of rulemaking being WITHDRAW.</w:t>
      </w:r>
    </w:p>
    <w:p w:rsidR="00F10ABD" w:rsidRDefault="00F10ABD" w:rsidP="00172C04">
      <w:pPr>
        <w:pStyle w:val="BlockText"/>
      </w:pPr>
    </w:p>
    <w:p w:rsidR="00F10ABD" w:rsidRDefault="00AE4928" w:rsidP="00F10ABD">
      <w:pPr>
        <w:pStyle w:val="BlockText"/>
        <w:numPr>
          <w:ilvl w:val="2"/>
          <w:numId w:val="32"/>
        </w:numPr>
      </w:pPr>
      <w:r w:rsidRPr="00AE4928">
        <w:t>61G6-7.001</w:t>
      </w:r>
      <w:r>
        <w:t>(4) regarding the scope of certification of a limited energy systems specialty contractor.</w:t>
      </w:r>
    </w:p>
    <w:p w:rsidR="00172C04" w:rsidRDefault="00172C04" w:rsidP="00172C04">
      <w:pPr>
        <w:pStyle w:val="BlockText"/>
        <w:ind w:left="2520"/>
      </w:pPr>
    </w:p>
    <w:p w:rsidR="00172C04" w:rsidRDefault="00172C04" w:rsidP="00172C04">
      <w:pPr>
        <w:pStyle w:val="BlockText"/>
        <w:ind w:left="1800" w:firstLine="360"/>
      </w:pPr>
      <w:r>
        <w:t>vi.  61G6-9.006 regarding approval of continuing education courses.</w:t>
      </w:r>
    </w:p>
    <w:p w:rsidR="00F10ABD" w:rsidRDefault="00F10ABD" w:rsidP="00F10ABD">
      <w:pPr>
        <w:pStyle w:val="BlockText"/>
        <w:ind w:left="2520"/>
      </w:pPr>
    </w:p>
    <w:p w:rsidR="00F10ABD" w:rsidRDefault="00AE4928" w:rsidP="00172C04">
      <w:pPr>
        <w:pStyle w:val="BlockText"/>
        <w:numPr>
          <w:ilvl w:val="2"/>
          <w:numId w:val="32"/>
        </w:numPr>
      </w:pPr>
      <w:r>
        <w:t>61G6-10.0065 (new) regarding the reinstatement of null and void licenses.</w:t>
      </w:r>
    </w:p>
    <w:p w:rsidR="00F10ABD" w:rsidRDefault="00F10ABD" w:rsidP="00172C04">
      <w:pPr>
        <w:pStyle w:val="BlockText"/>
      </w:pPr>
    </w:p>
    <w:p w:rsidR="00AE4928" w:rsidRDefault="00172C04" w:rsidP="00F10ABD">
      <w:pPr>
        <w:pStyle w:val="BlockText"/>
        <w:ind w:left="2520" w:hanging="360"/>
      </w:pPr>
      <w:r>
        <w:t>vii</w:t>
      </w:r>
      <w:r w:rsidR="00F10ABD">
        <w:t xml:space="preserve">. </w:t>
      </w:r>
      <w:r w:rsidR="00AE4928">
        <w:t>61G6-12.001(2) and (3) regarding requirements for burglar alarm system agent training courses.</w:t>
      </w:r>
    </w:p>
    <w:p w:rsidR="00F10ABD" w:rsidRDefault="00F10ABD" w:rsidP="00F10ABD">
      <w:pPr>
        <w:pStyle w:val="BlockText"/>
      </w:pPr>
    </w:p>
    <w:p w:rsidR="00F10ABD" w:rsidRDefault="00F10ABD" w:rsidP="00F10ABD">
      <w:pPr>
        <w:pStyle w:val="BlockText"/>
        <w:ind w:left="2520" w:hanging="360"/>
      </w:pPr>
      <w:r>
        <w:t xml:space="preserve">viii. </w:t>
      </w:r>
      <w:r w:rsidR="00AE4928">
        <w:t>61G6-12.002(3) and (4) regarding fire alarm system agent training courses.</w:t>
      </w:r>
    </w:p>
    <w:p w:rsidR="007755F6" w:rsidRDefault="007755F6" w:rsidP="007755F6">
      <w:pPr>
        <w:pStyle w:val="BlockText"/>
      </w:pPr>
    </w:p>
    <w:p w:rsidR="002E2A6D" w:rsidRDefault="00F9535D" w:rsidP="00172C04">
      <w:pPr>
        <w:pStyle w:val="BlockText"/>
        <w:numPr>
          <w:ilvl w:val="0"/>
          <w:numId w:val="32"/>
        </w:numPr>
      </w:pPr>
      <w:r w:rsidRPr="00EF1953">
        <w:rPr>
          <w:u w:val="single"/>
        </w:rPr>
        <w:t>Board of Ar</w:t>
      </w:r>
      <w:r w:rsidR="00CA1872" w:rsidRPr="00EF1953">
        <w:rPr>
          <w:u w:val="single"/>
        </w:rPr>
        <w:t>chitecture and Interior Design</w:t>
      </w:r>
      <w:r w:rsidR="00CA1872">
        <w:t xml:space="preserve"> – Chapter 481, Part I</w:t>
      </w:r>
      <w:r w:rsidR="00EB0314">
        <w:t>, FS</w:t>
      </w:r>
      <w:r w:rsidR="00CA1872">
        <w:t xml:space="preserve"> and 61G1 FAC</w:t>
      </w:r>
      <w:r w:rsidR="002E2A6D">
        <w:t>:</w:t>
      </w:r>
    </w:p>
    <w:p w:rsidR="002E2A6D" w:rsidRDefault="002E2A6D" w:rsidP="002E2A6D">
      <w:pPr>
        <w:pStyle w:val="BlockText"/>
        <w:ind w:left="720"/>
      </w:pPr>
    </w:p>
    <w:p w:rsidR="00AE4928" w:rsidRDefault="00AE4928" w:rsidP="00AE4928">
      <w:pPr>
        <w:pStyle w:val="BlockText"/>
        <w:ind w:left="1440"/>
      </w:pPr>
      <w:r>
        <w:t>(Nothing to report)</w:t>
      </w:r>
    </w:p>
    <w:p w:rsidR="00AE4928" w:rsidRDefault="00AE4928" w:rsidP="002E2A6D">
      <w:pPr>
        <w:pStyle w:val="BlockText"/>
        <w:ind w:left="720"/>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2E2A6D" w:rsidRDefault="002E2A6D" w:rsidP="00F10ABD">
      <w:pPr>
        <w:pStyle w:val="BlockText"/>
      </w:pPr>
    </w:p>
    <w:p w:rsidR="00305FDE" w:rsidRDefault="00EB56F6" w:rsidP="004200FB">
      <w:pPr>
        <w:pStyle w:val="ListParagraph"/>
        <w:ind w:left="1440"/>
      </w:pPr>
      <w:r>
        <w:t>(Nothing to report)</w:t>
      </w:r>
    </w:p>
    <w:p w:rsidR="002B3E98" w:rsidRDefault="002B3E98" w:rsidP="00172C04"/>
    <w:p w:rsidR="00F10ABD" w:rsidRDefault="00F9535D" w:rsidP="00172C04">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F10ABD" w:rsidRDefault="00F10ABD" w:rsidP="00F10ABD">
      <w:pPr>
        <w:pStyle w:val="BlockText"/>
        <w:ind w:left="1080"/>
      </w:pPr>
    </w:p>
    <w:p w:rsidR="00F10ABD" w:rsidRDefault="003C09F0" w:rsidP="00172C04">
      <w:pPr>
        <w:pStyle w:val="BlockText"/>
        <w:numPr>
          <w:ilvl w:val="1"/>
          <w:numId w:val="32"/>
        </w:numPr>
      </w:pPr>
      <w:r>
        <w:t>A petition for variance or waiver of rule 61G15-20.007</w:t>
      </w:r>
      <w:r w:rsidR="00F10ABD">
        <w:t>(1)</w:t>
      </w:r>
      <w:r>
        <w:t xml:space="preserve">, FAC, regarding requirements for demonstration of equivalency of general education </w:t>
      </w:r>
      <w:r w:rsidR="00F10ABD">
        <w:t>courses, was filed on November 15, 2010, by Suman Juluru</w:t>
      </w:r>
      <w:r>
        <w:t xml:space="preserve">, </w:t>
      </w:r>
      <w:r w:rsidR="00F10ABD">
        <w:t>was denied on May 13</w:t>
      </w:r>
      <w:r>
        <w:t>, 2011 based on the petitioner’s failure to meet the statutory requirements for a variance or waiver.</w:t>
      </w:r>
    </w:p>
    <w:p w:rsidR="00F10ABD" w:rsidRDefault="00F10ABD" w:rsidP="00F10ABD">
      <w:pPr>
        <w:pStyle w:val="BlockText"/>
        <w:ind w:left="1800"/>
      </w:pPr>
    </w:p>
    <w:p w:rsidR="00F10ABD" w:rsidRDefault="00172C04" w:rsidP="00172C04">
      <w:pPr>
        <w:pStyle w:val="BlockText"/>
        <w:numPr>
          <w:ilvl w:val="1"/>
          <w:numId w:val="32"/>
        </w:numPr>
      </w:pPr>
      <w:r>
        <w:t>A petition for declaratory statement was filed on February 10, 2011, by Juan Lapica, regarding corporation requirements pursuant to chapter 608 and 621, F. S., was denied on May 13, 2011, since the board does not have authority for interpretation of these statutory provisions.</w:t>
      </w:r>
    </w:p>
    <w:p w:rsidR="00EB56F6" w:rsidRDefault="00EB56F6" w:rsidP="00DB1B72">
      <w:pPr>
        <w:pStyle w:val="BlockText"/>
      </w:pPr>
    </w:p>
    <w:p w:rsidR="003134D3" w:rsidRDefault="00F9535D" w:rsidP="00172C04">
      <w:pPr>
        <w:pStyle w:val="BlockText"/>
        <w:numPr>
          <w:ilvl w:val="0"/>
          <w:numId w:val="32"/>
        </w:numPr>
      </w:pPr>
      <w:r w:rsidRPr="003134D3">
        <w:rPr>
          <w:u w:val="single"/>
        </w:rPr>
        <w:t>Building Code Administrators and Inspectors</w:t>
      </w:r>
      <w:r>
        <w:t xml:space="preserve"> Board</w:t>
      </w:r>
      <w:r w:rsidR="00CA1872">
        <w:t xml:space="preserve"> – Chapter 468, Part XII and 61G19 FAC</w:t>
      </w:r>
      <w:r w:rsidR="002E2A6D">
        <w:t xml:space="preserve">: </w:t>
      </w:r>
      <w:r w:rsidR="00221AAE">
        <w:t xml:space="preserve"> </w:t>
      </w:r>
    </w:p>
    <w:p w:rsidR="003134D3" w:rsidRDefault="003134D3" w:rsidP="003134D3">
      <w:pPr>
        <w:pStyle w:val="BlockText"/>
        <w:ind w:left="1080"/>
      </w:pPr>
    </w:p>
    <w:p w:rsidR="003134D3" w:rsidRDefault="003134D3" w:rsidP="003134D3">
      <w:pPr>
        <w:pStyle w:val="BlockText"/>
        <w:ind w:left="1440"/>
      </w:pPr>
      <w:r>
        <w:t>(Nothing to report)</w:t>
      </w:r>
    </w:p>
    <w:p w:rsidR="003134D3" w:rsidRPr="003134D3" w:rsidRDefault="003134D3" w:rsidP="003134D3">
      <w:pPr>
        <w:pStyle w:val="BlockText"/>
        <w:ind w:left="1080"/>
      </w:pPr>
    </w:p>
    <w:p w:rsidR="003134D3" w:rsidRDefault="0098369B" w:rsidP="00172C04">
      <w:pPr>
        <w:pStyle w:val="BlockText"/>
        <w:numPr>
          <w:ilvl w:val="0"/>
          <w:numId w:val="32"/>
        </w:numPr>
      </w:pPr>
      <w:r w:rsidRPr="00DA5E85">
        <w:rPr>
          <w:u w:val="single"/>
        </w:rPr>
        <w:t>Florida Building Commission</w:t>
      </w:r>
      <w:r w:rsidR="00EF1953">
        <w:rPr>
          <w:rStyle w:val="FootnoteReference"/>
          <w:u w:val="single"/>
        </w:rPr>
        <w:footnoteReference w:id="1"/>
      </w:r>
      <w:r w:rsidR="00CA1872">
        <w:t xml:space="preserve"> – C</w:t>
      </w:r>
      <w:r w:rsidR="00383EFB">
        <w:t>hapter 553, Part IV</w:t>
      </w:r>
      <w:r w:rsidR="002E2A6D">
        <w:t xml:space="preserve"> and 9N FAC:</w:t>
      </w:r>
      <w:r w:rsidR="00C552DE">
        <w:t xml:space="preserve"> </w:t>
      </w:r>
      <w:r w:rsidR="003134D3">
        <w:t>The following Petitions for Declaratory Statement will be heard on First Reading at the commission’s meeting on August 8-10, 2011:</w:t>
      </w:r>
    </w:p>
    <w:p w:rsidR="003134D3" w:rsidRDefault="003134D3" w:rsidP="003134D3">
      <w:pPr>
        <w:pStyle w:val="BlockText"/>
        <w:ind w:left="1440"/>
      </w:pPr>
    </w:p>
    <w:p w:rsidR="003134D3" w:rsidRDefault="003134D3" w:rsidP="00172C04">
      <w:pPr>
        <w:pStyle w:val="BlockText"/>
        <w:numPr>
          <w:ilvl w:val="1"/>
          <w:numId w:val="32"/>
        </w:numPr>
      </w:pPr>
      <w:r>
        <w:t>DCA10-DEC-286 by Larry Schnieder, AIA</w:t>
      </w:r>
    </w:p>
    <w:p w:rsidR="003134D3" w:rsidRDefault="003134D3" w:rsidP="003134D3">
      <w:pPr>
        <w:pStyle w:val="BlockText"/>
        <w:ind w:left="1800"/>
      </w:pPr>
    </w:p>
    <w:p w:rsidR="003134D3" w:rsidRDefault="003134D3" w:rsidP="00172C04">
      <w:pPr>
        <w:pStyle w:val="BlockText"/>
        <w:numPr>
          <w:ilvl w:val="1"/>
          <w:numId w:val="32"/>
        </w:numPr>
      </w:pPr>
      <w:r>
        <w:t>DCA11-DEC-055 by Larry Schnieder, AIA.</w:t>
      </w:r>
    </w:p>
    <w:p w:rsidR="003134D3" w:rsidRDefault="003134D3" w:rsidP="003134D3">
      <w:pPr>
        <w:pStyle w:val="ListParagraph"/>
      </w:pPr>
    </w:p>
    <w:p w:rsidR="003134D3" w:rsidRDefault="003134D3" w:rsidP="00172C04">
      <w:pPr>
        <w:pStyle w:val="BlockText"/>
        <w:numPr>
          <w:ilvl w:val="1"/>
          <w:numId w:val="32"/>
        </w:numPr>
      </w:pPr>
      <w:r>
        <w:t>DCA11-DEC-055 by Harvey M. Smith, Florida Atlantic University Compliance Department.</w:t>
      </w:r>
    </w:p>
    <w:p w:rsidR="00DB1B72" w:rsidRDefault="00DB1B72" w:rsidP="003134D3">
      <w:pPr>
        <w:pStyle w:val="BlockText"/>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383EFB" w:rsidRPr="00011776" w:rsidRDefault="0098369B" w:rsidP="00011776">
      <w:pPr>
        <w:pStyle w:val="BlockText"/>
        <w:numPr>
          <w:ilvl w:val="0"/>
          <w:numId w:val="30"/>
        </w:numPr>
      </w:pPr>
      <w:r w:rsidRPr="0098369B">
        <w:rPr>
          <w:b/>
        </w:rPr>
        <w:t>Health</w:t>
      </w:r>
      <w:r w:rsidR="00CA1872">
        <w:t>: Water Qualit</w:t>
      </w:r>
      <w:r w:rsidR="00383EFB">
        <w:t>y/Septic Tanks</w:t>
      </w:r>
      <w:r w:rsidR="00D9771C">
        <w:t xml:space="preserve"> – Chapter 381</w:t>
      </w:r>
      <w:r w:rsidR="00383EFB">
        <w:t xml:space="preserve"> and 64E</w:t>
      </w:r>
      <w:r w:rsidR="002E2A6D">
        <w:t xml:space="preserve"> FAC:</w:t>
      </w:r>
      <w:r w:rsidR="00221AAE">
        <w:t xml:space="preserve"> None of the various bills filed for consideration during the 2011 regular legislative session, repealing the inspection and repair requirements enacted in 2010, passed.</w:t>
      </w:r>
    </w:p>
    <w:p w:rsidR="00227443" w:rsidRPr="002E2A6D" w:rsidRDefault="00227443" w:rsidP="00227443">
      <w:pPr>
        <w:pStyle w:val="BlockText"/>
        <w:ind w:left="720"/>
      </w:pPr>
    </w:p>
    <w:p w:rsidR="00251EB1" w:rsidRDefault="00251EB1" w:rsidP="00305FDE">
      <w:pPr>
        <w:pStyle w:val="BlockText"/>
        <w:numPr>
          <w:ilvl w:val="0"/>
          <w:numId w:val="30"/>
        </w:numPr>
      </w:pPr>
      <w:r w:rsidRPr="00251EB1">
        <w:rPr>
          <w:b/>
        </w:rPr>
        <w:t>Financial Services</w:t>
      </w:r>
      <w:r w:rsidR="00CA1872">
        <w:t>: Workers’ Compensation Insu</w:t>
      </w:r>
      <w:r w:rsidR="002E2A6D">
        <w:t>rance – Chapter 440 and 69L FAC:</w:t>
      </w:r>
    </w:p>
    <w:p w:rsidR="00227443" w:rsidRDefault="00227443" w:rsidP="00227443">
      <w:pPr>
        <w:pStyle w:val="BlockText"/>
        <w:ind w:left="720"/>
        <w:rPr>
          <w:b/>
        </w:rPr>
      </w:pPr>
    </w:p>
    <w:p w:rsidR="00D17EF8" w:rsidRPr="00227443" w:rsidRDefault="00252DC4" w:rsidP="00EF1953">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EF1953" w:rsidRDefault="00EF1953" w:rsidP="004A582F">
      <w:pPr>
        <w:pStyle w:val="BlockText"/>
        <w:rPr>
          <w:b/>
          <w:u w:val="single"/>
        </w:rPr>
      </w:pPr>
    </w:p>
    <w:p w:rsidR="00DE0FB7" w:rsidRDefault="00DE0FB7" w:rsidP="004A582F">
      <w:pPr>
        <w:pStyle w:val="BlockText"/>
        <w:rPr>
          <w:b/>
          <w:u w:val="single"/>
        </w:rPr>
      </w:pPr>
    </w:p>
    <w:p w:rsidR="003134D3" w:rsidRDefault="00CD02EB" w:rsidP="004A582F">
      <w:pPr>
        <w:pStyle w:val="BlockText"/>
      </w:pPr>
      <w:r w:rsidRPr="00CD02EB">
        <w:rPr>
          <w:b/>
          <w:u w:val="single"/>
        </w:rPr>
        <w:t>Legislative Action:</w:t>
      </w:r>
      <w:r w:rsidR="000B76DD">
        <w:t xml:space="preserve"> </w:t>
      </w:r>
      <w:r w:rsidR="003134D3">
        <w:t>The report will be given separately as part of the CLE program for June 13, 2011.</w:t>
      </w:r>
    </w:p>
    <w:tbl>
      <w:tblPr>
        <w:tblW w:w="4900" w:type="pct"/>
        <w:jc w:val="center"/>
        <w:tblCellSpacing w:w="0" w:type="dxa"/>
        <w:tblCellMar>
          <w:top w:w="15" w:type="dxa"/>
          <w:left w:w="15" w:type="dxa"/>
          <w:bottom w:w="15" w:type="dxa"/>
          <w:right w:w="15" w:type="dxa"/>
        </w:tblCellMar>
        <w:tblLook w:val="04A0"/>
      </w:tblPr>
      <w:tblGrid>
        <w:gridCol w:w="9484"/>
      </w:tblGrid>
      <w:tr w:rsidR="00B94BF6" w:rsidTr="00B94BF6">
        <w:trPr>
          <w:tblCellSpacing w:w="0" w:type="dxa"/>
          <w:jc w:val="center"/>
        </w:trPr>
        <w:tc>
          <w:tcPr>
            <w:tcW w:w="0" w:type="auto"/>
            <w:vAlign w:val="center"/>
            <w:hideMark/>
          </w:tcPr>
          <w:tbl>
            <w:tblPr>
              <w:tblW w:w="5000" w:type="pct"/>
              <w:tblCellSpacing w:w="0" w:type="dxa"/>
              <w:tblCellMar>
                <w:top w:w="15" w:type="dxa"/>
                <w:left w:w="15" w:type="dxa"/>
                <w:bottom w:w="15" w:type="dxa"/>
                <w:right w:w="15" w:type="dxa"/>
              </w:tblCellMar>
              <w:tblLook w:val="04A0"/>
            </w:tblPr>
            <w:tblGrid>
              <w:gridCol w:w="8638"/>
              <w:gridCol w:w="816"/>
            </w:tblGrid>
            <w:tr w:rsidR="00B94BF6">
              <w:trPr>
                <w:tblCellSpacing w:w="0" w:type="dxa"/>
              </w:trPr>
              <w:tc>
                <w:tcPr>
                  <w:tcW w:w="0" w:type="auto"/>
                  <w:tcMar>
                    <w:top w:w="45" w:type="dxa"/>
                    <w:left w:w="75" w:type="dxa"/>
                    <w:bottom w:w="45" w:type="dxa"/>
                    <w:right w:w="75" w:type="dxa"/>
                  </w:tcMar>
                  <w:vAlign w:val="center"/>
                  <w:hideMark/>
                </w:tcPr>
                <w:p w:rsidR="00B94BF6" w:rsidRDefault="00B94BF6">
                  <w:pPr>
                    <w:rPr>
                      <w:rFonts w:ascii="Arial" w:hAnsi="Arial" w:cs="Arial"/>
                      <w:b/>
                      <w:bCs/>
                      <w:color w:val="FFFFFF"/>
                      <w:sz w:val="20"/>
                      <w:szCs w:val="20"/>
                    </w:rPr>
                  </w:pPr>
                  <w:r>
                    <w:rPr>
                      <w:rFonts w:ascii="Arial" w:hAnsi="Arial" w:cs="Arial"/>
                      <w:b/>
                      <w:bCs/>
                      <w:color w:val="FFFFFF"/>
                      <w:sz w:val="20"/>
                      <w:szCs w:val="20"/>
                    </w:rPr>
                    <w:t xml:space="preserve">  2011  Bills (81) </w:t>
                  </w:r>
                </w:p>
              </w:tc>
              <w:tc>
                <w:tcPr>
                  <w:tcW w:w="0" w:type="auto"/>
                  <w:tcMar>
                    <w:top w:w="45" w:type="dxa"/>
                    <w:left w:w="75" w:type="dxa"/>
                    <w:bottom w:w="45" w:type="dxa"/>
                    <w:right w:w="75" w:type="dxa"/>
                  </w:tcMar>
                  <w:vAlign w:val="center"/>
                  <w:hideMark/>
                </w:tcPr>
                <w:p w:rsidR="00B94BF6" w:rsidRDefault="00B94BF6">
                  <w:pPr>
                    <w:jc w:val="right"/>
                    <w:rPr>
                      <w:rFonts w:ascii="Arial" w:hAnsi="Arial" w:cs="Arial"/>
                      <w:b/>
                      <w:bCs/>
                      <w:color w:val="FFFFFF"/>
                      <w:sz w:val="20"/>
                      <w:szCs w:val="20"/>
                    </w:rPr>
                  </w:pPr>
                </w:p>
              </w:tc>
            </w:tr>
          </w:tbl>
          <w:p w:rsidR="00B94BF6" w:rsidRDefault="00B94BF6">
            <w:pPr>
              <w:rPr>
                <w:rFonts w:ascii="Arial" w:hAnsi="Arial" w:cs="Arial"/>
                <w:sz w:val="20"/>
                <w:szCs w:val="20"/>
              </w:rPr>
            </w:pPr>
          </w:p>
        </w:tc>
      </w:tr>
    </w:tbl>
    <w:p w:rsidR="000B76DD" w:rsidRDefault="000B76DD" w:rsidP="002C5E1D">
      <w:pPr>
        <w:pStyle w:val="BlockText"/>
      </w:pPr>
      <w:r>
        <w:t>Respectfully submitted,</w:t>
      </w:r>
    </w:p>
    <w:p w:rsidR="002C5E1D" w:rsidRDefault="003134D3" w:rsidP="002C5E1D">
      <w:pPr>
        <w:pStyle w:val="BlockText"/>
      </w:pPr>
      <w:r>
        <w:t>June 13</w:t>
      </w:r>
      <w:r w:rsidR="00D17EF8">
        <w:t>, 2011</w:t>
      </w:r>
    </w:p>
    <w:p w:rsidR="002C5E1D" w:rsidRDefault="002C5E1D" w:rsidP="002C5E1D">
      <w:pPr>
        <w:pStyle w:val="BlockText"/>
      </w:pPr>
    </w:p>
    <w:p w:rsidR="00251EB1" w:rsidRDefault="002C5E1D" w:rsidP="00F9535D">
      <w:pPr>
        <w:pStyle w:val="BlockText"/>
      </w:pPr>
      <w:r>
        <w:t>-end of report-</w:t>
      </w:r>
    </w:p>
    <w:sectPr w:rsidR="00251EB1" w:rsidSect="009A10B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81F" w:rsidRDefault="0042781F" w:rsidP="009A2CBA">
      <w:r>
        <w:separator/>
      </w:r>
    </w:p>
  </w:endnote>
  <w:endnote w:type="continuationSeparator" w:id="0">
    <w:p w:rsidR="0042781F" w:rsidRDefault="0042781F"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534" w:rsidRDefault="00DB45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F6" w:rsidRDefault="007755F6" w:rsidP="000421B5">
    <w:pPr>
      <w:pStyle w:val="Footer"/>
    </w:pPr>
    <w:r>
      <w:tab/>
    </w:r>
    <w:fldSimple w:instr=" PAGE   \* MERGEFORMAT ">
      <w:r w:rsidR="00BE5713">
        <w:rPr>
          <w:noProof/>
        </w:rPr>
        <w:t>2</w:t>
      </w:r>
    </w:fldSimple>
  </w:p>
  <w:p w:rsidR="007755F6" w:rsidRPr="00911FE4" w:rsidRDefault="00DB4534" w:rsidP="000421B5">
    <w:pPr>
      <w:pStyle w:val="Footer"/>
      <w:rPr>
        <w:rStyle w:val="DocID"/>
      </w:rPr>
    </w:pPr>
    <w:r w:rsidRPr="00DB4534">
      <w:rPr>
        <w:rStyle w:val="DocID"/>
      </w:rPr>
      <w:t>#9764699_v1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F6" w:rsidRPr="00911FE4" w:rsidRDefault="00F83587" w:rsidP="000421B5">
    <w:pPr>
      <w:pStyle w:val="Footer"/>
      <w:rPr>
        <w:rStyle w:val="DocID"/>
      </w:rPr>
    </w:pPr>
    <w:r>
      <w:rPr>
        <w:sz w:val="20"/>
      </w:rPr>
      <w:fldChar w:fldCharType="begin"/>
    </w:r>
    <w:r w:rsidR="007755F6">
      <w:rPr>
        <w:sz w:val="20"/>
      </w:rPr>
      <w:instrText xml:space="preserve"> If </w:instrText>
    </w:r>
    <w:r>
      <w:rPr>
        <w:sz w:val="20"/>
      </w:rPr>
      <w:fldChar w:fldCharType="begin"/>
    </w:r>
    <w:r w:rsidR="007755F6">
      <w:rPr>
        <w:sz w:val="20"/>
      </w:rPr>
      <w:instrText xml:space="preserve"> numpages </w:instrText>
    </w:r>
    <w:r>
      <w:rPr>
        <w:sz w:val="20"/>
      </w:rPr>
      <w:fldChar w:fldCharType="separate"/>
    </w:r>
    <w:r w:rsidR="00BE5713">
      <w:rPr>
        <w:noProof/>
        <w:sz w:val="20"/>
      </w:rPr>
      <w:instrText>1</w:instrText>
    </w:r>
    <w:r>
      <w:rPr>
        <w:sz w:val="20"/>
      </w:rPr>
      <w:fldChar w:fldCharType="end"/>
    </w:r>
    <w:r w:rsidR="007755F6">
      <w:rPr>
        <w:sz w:val="20"/>
      </w:rPr>
      <w:instrText xml:space="preserve"> = 1 </w:instrText>
    </w:r>
    <w:r w:rsidR="007755F6" w:rsidRPr="00F4233A">
      <w:rPr>
        <w:rStyle w:val="DocID"/>
      </w:rPr>
      <w:instrText>#9751992_v1</w:instrText>
    </w:r>
    <w:r w:rsidR="007755F6">
      <w:instrText xml:space="preserve"> ""</w:instrText>
    </w:r>
    <w:r w:rsidR="007755F6">
      <w:rPr>
        <w:sz w:val="20"/>
      </w:rPr>
      <w:instrText xml:space="preserve"> </w:instrText>
    </w:r>
    <w:r w:rsidR="00BE5713">
      <w:rPr>
        <w:sz w:val="20"/>
      </w:rPr>
      <w:fldChar w:fldCharType="separate"/>
    </w:r>
    <w:r w:rsidR="00BE5713" w:rsidRPr="00F4233A">
      <w:rPr>
        <w:rStyle w:val="DocID"/>
        <w:noProof/>
      </w:rPr>
      <w:t>#9751992_v1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81F" w:rsidRDefault="0042781F" w:rsidP="009A2CBA">
      <w:r>
        <w:separator/>
      </w:r>
    </w:p>
  </w:footnote>
  <w:footnote w:type="continuationSeparator" w:id="0">
    <w:p w:rsidR="0042781F" w:rsidRDefault="0042781F" w:rsidP="009A2CBA">
      <w:r>
        <w:continuationSeparator/>
      </w:r>
    </w:p>
  </w:footnote>
  <w:footnote w:id="1">
    <w:p w:rsidR="007755F6" w:rsidRDefault="007755F6"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7755F6" w:rsidRDefault="007755F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534" w:rsidRDefault="00DB45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534" w:rsidRDefault="00DB45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534" w:rsidRDefault="00DB45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50E0A57"/>
    <w:multiLevelType w:val="hybridMultilevel"/>
    <w:tmpl w:val="6D164288"/>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2"/>
  </w:num>
  <w:num w:numId="3">
    <w:abstractNumId w:val="0"/>
  </w:num>
  <w:num w:numId="4">
    <w:abstractNumId w:val="9"/>
  </w:num>
  <w:num w:numId="5">
    <w:abstractNumId w:val="35"/>
  </w:num>
  <w:num w:numId="6">
    <w:abstractNumId w:val="28"/>
  </w:num>
  <w:num w:numId="7">
    <w:abstractNumId w:val="26"/>
  </w:num>
  <w:num w:numId="8">
    <w:abstractNumId w:val="43"/>
  </w:num>
  <w:num w:numId="9">
    <w:abstractNumId w:val="27"/>
  </w:num>
  <w:num w:numId="10">
    <w:abstractNumId w:val="5"/>
  </w:num>
  <w:num w:numId="11">
    <w:abstractNumId w:val="4"/>
  </w:num>
  <w:num w:numId="12">
    <w:abstractNumId w:val="7"/>
  </w:num>
  <w:num w:numId="13">
    <w:abstractNumId w:val="17"/>
  </w:num>
  <w:num w:numId="14">
    <w:abstractNumId w:val="34"/>
  </w:num>
  <w:num w:numId="15">
    <w:abstractNumId w:val="39"/>
  </w:num>
  <w:num w:numId="16">
    <w:abstractNumId w:val="41"/>
  </w:num>
  <w:num w:numId="17">
    <w:abstractNumId w:val="30"/>
  </w:num>
  <w:num w:numId="18">
    <w:abstractNumId w:val="8"/>
  </w:num>
  <w:num w:numId="19">
    <w:abstractNumId w:val="37"/>
  </w:num>
  <w:num w:numId="20">
    <w:abstractNumId w:val="42"/>
  </w:num>
  <w:num w:numId="21">
    <w:abstractNumId w:val="29"/>
  </w:num>
  <w:num w:numId="22">
    <w:abstractNumId w:val="44"/>
  </w:num>
  <w:num w:numId="23">
    <w:abstractNumId w:val="11"/>
  </w:num>
  <w:num w:numId="24">
    <w:abstractNumId w:val="10"/>
  </w:num>
  <w:num w:numId="25">
    <w:abstractNumId w:val="14"/>
  </w:num>
  <w:num w:numId="26">
    <w:abstractNumId w:val="3"/>
  </w:num>
  <w:num w:numId="27">
    <w:abstractNumId w:val="1"/>
  </w:num>
  <w:num w:numId="28">
    <w:abstractNumId w:val="20"/>
  </w:num>
  <w:num w:numId="29">
    <w:abstractNumId w:val="21"/>
  </w:num>
  <w:num w:numId="30">
    <w:abstractNumId w:val="6"/>
  </w:num>
  <w:num w:numId="31">
    <w:abstractNumId w:val="16"/>
  </w:num>
  <w:num w:numId="32">
    <w:abstractNumId w:val="19"/>
  </w:num>
  <w:num w:numId="33">
    <w:abstractNumId w:val="25"/>
  </w:num>
  <w:num w:numId="34">
    <w:abstractNumId w:val="15"/>
  </w:num>
  <w:num w:numId="35">
    <w:abstractNumId w:val="23"/>
  </w:num>
  <w:num w:numId="36">
    <w:abstractNumId w:val="22"/>
  </w:num>
  <w:num w:numId="37">
    <w:abstractNumId w:val="36"/>
  </w:num>
  <w:num w:numId="38">
    <w:abstractNumId w:val="40"/>
  </w:num>
  <w:num w:numId="39">
    <w:abstractNumId w:val="38"/>
  </w:num>
  <w:num w:numId="40">
    <w:abstractNumId w:val="33"/>
  </w:num>
  <w:num w:numId="41">
    <w:abstractNumId w:val="31"/>
  </w:num>
  <w:num w:numId="42">
    <w:abstractNumId w:val="12"/>
  </w:num>
  <w:num w:numId="43">
    <w:abstractNumId w:val="24"/>
  </w:num>
  <w:num w:numId="44">
    <w:abstractNumId w:val="18"/>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docVars>
    <w:docVar w:name="LegacyDocIDRemoved" w:val="True"/>
  </w:docVars>
  <w:rsids>
    <w:rsidRoot w:val="00D8155F"/>
    <w:rsid w:val="00011776"/>
    <w:rsid w:val="00027FC3"/>
    <w:rsid w:val="000302BC"/>
    <w:rsid w:val="000421B5"/>
    <w:rsid w:val="00084298"/>
    <w:rsid w:val="000A4BA4"/>
    <w:rsid w:val="000B76DD"/>
    <w:rsid w:val="000D2555"/>
    <w:rsid w:val="000F6911"/>
    <w:rsid w:val="00110D3B"/>
    <w:rsid w:val="001114F7"/>
    <w:rsid w:val="001148B5"/>
    <w:rsid w:val="001156AF"/>
    <w:rsid w:val="00117544"/>
    <w:rsid w:val="00126ABD"/>
    <w:rsid w:val="00146E4E"/>
    <w:rsid w:val="001476D7"/>
    <w:rsid w:val="00151F43"/>
    <w:rsid w:val="00172C04"/>
    <w:rsid w:val="00175923"/>
    <w:rsid w:val="0019065B"/>
    <w:rsid w:val="001963BC"/>
    <w:rsid w:val="001B11FD"/>
    <w:rsid w:val="001B73F6"/>
    <w:rsid w:val="001D1B70"/>
    <w:rsid w:val="001D50A8"/>
    <w:rsid w:val="001E327E"/>
    <w:rsid w:val="001F18CD"/>
    <w:rsid w:val="001F7DB9"/>
    <w:rsid w:val="00221926"/>
    <w:rsid w:val="00221AAE"/>
    <w:rsid w:val="002236E8"/>
    <w:rsid w:val="0022445A"/>
    <w:rsid w:val="00227443"/>
    <w:rsid w:val="002348A5"/>
    <w:rsid w:val="00237AEC"/>
    <w:rsid w:val="00243FF8"/>
    <w:rsid w:val="00246D22"/>
    <w:rsid w:val="00251EB1"/>
    <w:rsid w:val="00252DC4"/>
    <w:rsid w:val="002630F7"/>
    <w:rsid w:val="002857BE"/>
    <w:rsid w:val="002A4DD8"/>
    <w:rsid w:val="002B3E98"/>
    <w:rsid w:val="002C378F"/>
    <w:rsid w:val="002C5E1D"/>
    <w:rsid w:val="002D4362"/>
    <w:rsid w:val="002E2A6D"/>
    <w:rsid w:val="00305D83"/>
    <w:rsid w:val="00305FDE"/>
    <w:rsid w:val="00311BC1"/>
    <w:rsid w:val="003134D3"/>
    <w:rsid w:val="0032598E"/>
    <w:rsid w:val="003319A7"/>
    <w:rsid w:val="00340637"/>
    <w:rsid w:val="00340740"/>
    <w:rsid w:val="00345235"/>
    <w:rsid w:val="003473F4"/>
    <w:rsid w:val="00383EFB"/>
    <w:rsid w:val="003A1E91"/>
    <w:rsid w:val="003A4FB0"/>
    <w:rsid w:val="003C09F0"/>
    <w:rsid w:val="003D34DF"/>
    <w:rsid w:val="004200FB"/>
    <w:rsid w:val="0042781F"/>
    <w:rsid w:val="00465432"/>
    <w:rsid w:val="00484B9C"/>
    <w:rsid w:val="004A451E"/>
    <w:rsid w:val="004A582F"/>
    <w:rsid w:val="004C63D8"/>
    <w:rsid w:val="004F3D87"/>
    <w:rsid w:val="00500503"/>
    <w:rsid w:val="00504537"/>
    <w:rsid w:val="00512724"/>
    <w:rsid w:val="005237C4"/>
    <w:rsid w:val="005463F4"/>
    <w:rsid w:val="005A61CC"/>
    <w:rsid w:val="005C40F9"/>
    <w:rsid w:val="005F4A79"/>
    <w:rsid w:val="00600D46"/>
    <w:rsid w:val="00614279"/>
    <w:rsid w:val="0063517A"/>
    <w:rsid w:val="00667D54"/>
    <w:rsid w:val="00675E10"/>
    <w:rsid w:val="00685808"/>
    <w:rsid w:val="006A3A6B"/>
    <w:rsid w:val="006B1D63"/>
    <w:rsid w:val="006D3AD0"/>
    <w:rsid w:val="006E5C27"/>
    <w:rsid w:val="006F336C"/>
    <w:rsid w:val="007017B0"/>
    <w:rsid w:val="0070218E"/>
    <w:rsid w:val="007065A1"/>
    <w:rsid w:val="007150E1"/>
    <w:rsid w:val="0077226C"/>
    <w:rsid w:val="00774A2B"/>
    <w:rsid w:val="007755F6"/>
    <w:rsid w:val="00793514"/>
    <w:rsid w:val="007977D0"/>
    <w:rsid w:val="007A2C34"/>
    <w:rsid w:val="007A7335"/>
    <w:rsid w:val="007B455D"/>
    <w:rsid w:val="007E128E"/>
    <w:rsid w:val="00821688"/>
    <w:rsid w:val="008219AB"/>
    <w:rsid w:val="0082467E"/>
    <w:rsid w:val="00832281"/>
    <w:rsid w:val="0083319A"/>
    <w:rsid w:val="00833649"/>
    <w:rsid w:val="00864F61"/>
    <w:rsid w:val="008667F9"/>
    <w:rsid w:val="00875906"/>
    <w:rsid w:val="008B10F9"/>
    <w:rsid w:val="008B6B8E"/>
    <w:rsid w:val="008B6F95"/>
    <w:rsid w:val="008C44B6"/>
    <w:rsid w:val="008C57F6"/>
    <w:rsid w:val="008C6567"/>
    <w:rsid w:val="0090334E"/>
    <w:rsid w:val="009037AF"/>
    <w:rsid w:val="00912B18"/>
    <w:rsid w:val="00933C83"/>
    <w:rsid w:val="0095190E"/>
    <w:rsid w:val="00972224"/>
    <w:rsid w:val="0098369B"/>
    <w:rsid w:val="00990086"/>
    <w:rsid w:val="00994DC4"/>
    <w:rsid w:val="009A10B6"/>
    <w:rsid w:val="009A2CBA"/>
    <w:rsid w:val="009B472E"/>
    <w:rsid w:val="009C6F42"/>
    <w:rsid w:val="009F3454"/>
    <w:rsid w:val="00A03908"/>
    <w:rsid w:val="00A24F93"/>
    <w:rsid w:val="00A47BAD"/>
    <w:rsid w:val="00A47D5F"/>
    <w:rsid w:val="00A862A4"/>
    <w:rsid w:val="00A92BA2"/>
    <w:rsid w:val="00AA49B9"/>
    <w:rsid w:val="00AB6124"/>
    <w:rsid w:val="00AD19E4"/>
    <w:rsid w:val="00AD3673"/>
    <w:rsid w:val="00AD4A48"/>
    <w:rsid w:val="00AE4928"/>
    <w:rsid w:val="00B11BE8"/>
    <w:rsid w:val="00B1354A"/>
    <w:rsid w:val="00B51F07"/>
    <w:rsid w:val="00B55AA9"/>
    <w:rsid w:val="00B605B3"/>
    <w:rsid w:val="00B6409D"/>
    <w:rsid w:val="00B65A78"/>
    <w:rsid w:val="00B75D21"/>
    <w:rsid w:val="00B82F44"/>
    <w:rsid w:val="00B854DA"/>
    <w:rsid w:val="00B94BF6"/>
    <w:rsid w:val="00BB43FD"/>
    <w:rsid w:val="00BC3ED9"/>
    <w:rsid w:val="00BD0579"/>
    <w:rsid w:val="00BE5713"/>
    <w:rsid w:val="00BF5744"/>
    <w:rsid w:val="00C0615F"/>
    <w:rsid w:val="00C10FB4"/>
    <w:rsid w:val="00C15A97"/>
    <w:rsid w:val="00C17A11"/>
    <w:rsid w:val="00C41104"/>
    <w:rsid w:val="00C42CAD"/>
    <w:rsid w:val="00C46B9E"/>
    <w:rsid w:val="00C527C3"/>
    <w:rsid w:val="00C552DE"/>
    <w:rsid w:val="00C613B0"/>
    <w:rsid w:val="00C71560"/>
    <w:rsid w:val="00C80F74"/>
    <w:rsid w:val="00C8621F"/>
    <w:rsid w:val="00CA1872"/>
    <w:rsid w:val="00CA1D5A"/>
    <w:rsid w:val="00CB393B"/>
    <w:rsid w:val="00CD02EB"/>
    <w:rsid w:val="00CF7C33"/>
    <w:rsid w:val="00D17EF8"/>
    <w:rsid w:val="00D31E05"/>
    <w:rsid w:val="00D42313"/>
    <w:rsid w:val="00D45220"/>
    <w:rsid w:val="00D5683A"/>
    <w:rsid w:val="00D6075F"/>
    <w:rsid w:val="00D64A8A"/>
    <w:rsid w:val="00D8155F"/>
    <w:rsid w:val="00D92897"/>
    <w:rsid w:val="00D9771C"/>
    <w:rsid w:val="00D97BF8"/>
    <w:rsid w:val="00DA5E85"/>
    <w:rsid w:val="00DB1B72"/>
    <w:rsid w:val="00DB4534"/>
    <w:rsid w:val="00DD18B8"/>
    <w:rsid w:val="00DD5BF9"/>
    <w:rsid w:val="00DE0FB7"/>
    <w:rsid w:val="00DE3DD6"/>
    <w:rsid w:val="00DE517B"/>
    <w:rsid w:val="00DE5A5D"/>
    <w:rsid w:val="00DF4C21"/>
    <w:rsid w:val="00E10E84"/>
    <w:rsid w:val="00E311DC"/>
    <w:rsid w:val="00E3534A"/>
    <w:rsid w:val="00E4444A"/>
    <w:rsid w:val="00E95DE1"/>
    <w:rsid w:val="00E97E26"/>
    <w:rsid w:val="00EA3A1A"/>
    <w:rsid w:val="00EB0314"/>
    <w:rsid w:val="00EB2DD7"/>
    <w:rsid w:val="00EB56F6"/>
    <w:rsid w:val="00EC3C0E"/>
    <w:rsid w:val="00EF1953"/>
    <w:rsid w:val="00EF3BC8"/>
    <w:rsid w:val="00F003DC"/>
    <w:rsid w:val="00F023FE"/>
    <w:rsid w:val="00F0773C"/>
    <w:rsid w:val="00F10ABD"/>
    <w:rsid w:val="00F15B84"/>
    <w:rsid w:val="00F33F66"/>
    <w:rsid w:val="00F4233A"/>
    <w:rsid w:val="00F52831"/>
    <w:rsid w:val="00F53B73"/>
    <w:rsid w:val="00F61714"/>
    <w:rsid w:val="00F7015E"/>
    <w:rsid w:val="00F828AE"/>
    <w:rsid w:val="00F83587"/>
    <w:rsid w:val="00F9398C"/>
    <w:rsid w:val="00F9535D"/>
    <w:rsid w:val="00F97BF7"/>
    <w:rsid w:val="00FA2710"/>
    <w:rsid w:val="00FB588A"/>
    <w:rsid w:val="00FC0694"/>
    <w:rsid w:val="00FC6F29"/>
    <w:rsid w:val="00FD1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3</Pages>
  <Words>911</Words>
  <Characters>5119</Characters>
  <Application>Microsoft Office Word</Application>
  <DocSecurity>0</DocSecurity>
  <Lines>146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_</cp:lastModifiedBy>
  <cp:revision>2</cp:revision>
  <cp:lastPrinted>2011-06-13T14:50:00Z</cp:lastPrinted>
  <dcterms:created xsi:type="dcterms:W3CDTF">2011-06-13T14:52:00Z</dcterms:created>
  <dcterms:modified xsi:type="dcterms:W3CDTF">2011-06-13T14:52:00Z</dcterms:modified>
  <cp:category/>
</cp:coreProperties>
</file>