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F9" w:rsidP="00840A0D" w:rsidRDefault="00840A0D" w14:paraId="322A5675" w14:textId="77777777">
      <w:pPr>
        <w:jc w:val="center"/>
        <w:rPr>
          <w:rFonts w:ascii="Times New Roman" w:hAnsi="Times New Roman" w:cs="Times New Roman"/>
          <w:sz w:val="24"/>
          <w:szCs w:val="24"/>
          <w:u w:val="single"/>
        </w:rPr>
      </w:pPr>
      <w:r w:rsidRPr="00840A0D">
        <w:rPr>
          <w:rFonts w:ascii="Times New Roman" w:hAnsi="Times New Roman" w:cs="Times New Roman"/>
          <w:b/>
          <w:sz w:val="24"/>
          <w:szCs w:val="24"/>
        </w:rPr>
        <w:t>WHITE PAPER</w:t>
      </w:r>
    </w:p>
    <w:p w:rsidR="008112BA" w:rsidP="00D4514F" w:rsidRDefault="008112BA" w14:paraId="6C2CCF54" w14:textId="3BEA730C">
      <w:pPr>
        <w:spacing w:after="0" w:line="240" w:lineRule="auto"/>
        <w:jc w:val="center"/>
        <w:rPr>
          <w:rFonts w:ascii="Times New Roman" w:hAnsi="Times New Roman" w:cs="Times New Roman"/>
          <w:b/>
          <w:sz w:val="24"/>
          <w:szCs w:val="24"/>
        </w:rPr>
      </w:pPr>
    </w:p>
    <w:p w:rsidR="008C500B" w:rsidP="00D4514F" w:rsidRDefault="008C500B" w14:paraId="2C4C6FBF" w14:textId="77777777">
      <w:pPr>
        <w:spacing w:after="0" w:line="240" w:lineRule="auto"/>
        <w:jc w:val="center"/>
        <w:rPr>
          <w:rFonts w:ascii="Times New Roman" w:hAnsi="Times New Roman" w:cs="Times New Roman"/>
          <w:b/>
          <w:sz w:val="24"/>
          <w:szCs w:val="24"/>
        </w:rPr>
      </w:pPr>
    </w:p>
    <w:p w:rsidR="008112BA" w:rsidP="00D4514F" w:rsidRDefault="008112BA" w14:paraId="337BC7EB" w14:textId="77777777">
      <w:pPr>
        <w:spacing w:after="0" w:line="240" w:lineRule="auto"/>
        <w:jc w:val="center"/>
        <w:rPr>
          <w:rFonts w:ascii="Times New Roman" w:hAnsi="Times New Roman" w:cs="Times New Roman"/>
          <w:b/>
          <w:sz w:val="24"/>
          <w:szCs w:val="24"/>
        </w:rPr>
      </w:pPr>
    </w:p>
    <w:p w:rsidR="00D4514F" w:rsidP="00D4514F" w:rsidRDefault="00840A0D" w14:paraId="1D4384D9" w14:textId="0E1AC171">
      <w:pPr>
        <w:spacing w:after="0" w:line="240" w:lineRule="auto"/>
        <w:jc w:val="center"/>
        <w:rPr>
          <w:rFonts w:ascii="Times New Roman" w:hAnsi="Times New Roman" w:cs="Times New Roman"/>
          <w:b/>
          <w:sz w:val="24"/>
          <w:szCs w:val="24"/>
        </w:rPr>
      </w:pPr>
      <w:r w:rsidRPr="007B120C">
        <w:rPr>
          <w:rFonts w:ascii="Times New Roman" w:hAnsi="Times New Roman" w:cs="Times New Roman"/>
          <w:b/>
          <w:sz w:val="24"/>
          <w:szCs w:val="24"/>
        </w:rPr>
        <w:t>REVISION TO FLORIDA’S STATUTE</w:t>
      </w:r>
      <w:r w:rsidR="00D4514F">
        <w:rPr>
          <w:rFonts w:ascii="Times New Roman" w:hAnsi="Times New Roman" w:cs="Times New Roman"/>
          <w:b/>
          <w:sz w:val="24"/>
          <w:szCs w:val="24"/>
        </w:rPr>
        <w:t>S</w:t>
      </w:r>
      <w:r w:rsidRPr="007B120C">
        <w:rPr>
          <w:rFonts w:ascii="Times New Roman" w:hAnsi="Times New Roman" w:cs="Times New Roman"/>
          <w:b/>
          <w:sz w:val="24"/>
          <w:szCs w:val="24"/>
        </w:rPr>
        <w:t xml:space="preserve"> OF LIMITATION AND REPOSE </w:t>
      </w:r>
      <w:r w:rsidR="00472717">
        <w:rPr>
          <w:rFonts w:ascii="Times New Roman" w:hAnsi="Times New Roman" w:cs="Times New Roman"/>
          <w:b/>
          <w:sz w:val="24"/>
          <w:szCs w:val="24"/>
        </w:rPr>
        <w:t xml:space="preserve">FOR ACTIONS FOUNDED UPON AN IMPROVEMENT TO REAL PROPERTY </w:t>
      </w:r>
    </w:p>
    <w:p w:rsidR="00840A0D" w:rsidP="00D4514F" w:rsidRDefault="00472717" w14:paraId="424C311A" w14:textId="6956AC5C">
      <w:pPr>
        <w:jc w:val="center"/>
        <w:rPr>
          <w:rFonts w:ascii="Times New Roman" w:hAnsi="Times New Roman" w:cs="Times New Roman"/>
          <w:b/>
          <w:sz w:val="24"/>
          <w:szCs w:val="24"/>
        </w:rPr>
      </w:pPr>
      <w:r>
        <w:rPr>
          <w:rFonts w:ascii="Times New Roman" w:hAnsi="Times New Roman" w:cs="Times New Roman"/>
          <w:b/>
          <w:sz w:val="24"/>
          <w:szCs w:val="24"/>
        </w:rPr>
        <w:t>Section</w:t>
      </w:r>
      <w:r w:rsidRPr="007B120C" w:rsidR="00B2378D">
        <w:rPr>
          <w:rFonts w:ascii="Times New Roman" w:hAnsi="Times New Roman" w:cs="Times New Roman"/>
          <w:b/>
          <w:sz w:val="24"/>
          <w:szCs w:val="24"/>
        </w:rPr>
        <w:t xml:space="preserve"> </w:t>
      </w:r>
      <w:r w:rsidRPr="007B120C" w:rsidR="00840A0D">
        <w:rPr>
          <w:rFonts w:ascii="Times New Roman" w:hAnsi="Times New Roman" w:cs="Times New Roman"/>
          <w:b/>
          <w:sz w:val="24"/>
          <w:szCs w:val="24"/>
        </w:rPr>
        <w:t>95.11(3</w:t>
      </w:r>
      <w:proofErr w:type="gramStart"/>
      <w:r w:rsidRPr="007B120C" w:rsidR="00840A0D">
        <w:rPr>
          <w:rFonts w:ascii="Times New Roman" w:hAnsi="Times New Roman" w:cs="Times New Roman"/>
          <w:b/>
          <w:sz w:val="24"/>
          <w:szCs w:val="24"/>
        </w:rPr>
        <w:t>)(</w:t>
      </w:r>
      <w:proofErr w:type="gramEnd"/>
      <w:r>
        <w:rPr>
          <w:rFonts w:ascii="Times New Roman" w:hAnsi="Times New Roman" w:cs="Times New Roman"/>
          <w:b/>
          <w:sz w:val="24"/>
          <w:szCs w:val="24"/>
        </w:rPr>
        <w:t>b</w:t>
      </w:r>
      <w:r w:rsidRPr="007B120C" w:rsidR="00840A0D">
        <w:rPr>
          <w:rFonts w:ascii="Times New Roman" w:hAnsi="Times New Roman" w:cs="Times New Roman"/>
          <w:b/>
          <w:sz w:val="24"/>
          <w:szCs w:val="24"/>
        </w:rPr>
        <w:t>), F</w:t>
      </w:r>
      <w:r w:rsidR="00D4514F">
        <w:rPr>
          <w:rFonts w:ascii="Times New Roman" w:hAnsi="Times New Roman" w:cs="Times New Roman"/>
          <w:b/>
          <w:sz w:val="24"/>
          <w:szCs w:val="24"/>
        </w:rPr>
        <w:t>lorida Statutes</w:t>
      </w:r>
      <w:r w:rsidR="007B120C">
        <w:rPr>
          <w:rFonts w:ascii="Times New Roman" w:hAnsi="Times New Roman" w:cs="Times New Roman"/>
          <w:b/>
          <w:sz w:val="24"/>
          <w:szCs w:val="24"/>
        </w:rPr>
        <w:t xml:space="preserve"> (2023)</w:t>
      </w:r>
      <w:r>
        <w:rPr>
          <w:rStyle w:val="FootnoteReference"/>
          <w:rFonts w:ascii="Times New Roman" w:hAnsi="Times New Roman" w:cs="Times New Roman"/>
          <w:b/>
          <w:sz w:val="24"/>
          <w:szCs w:val="24"/>
        </w:rPr>
        <w:footnoteReference w:id="1"/>
      </w:r>
    </w:p>
    <w:p w:rsidRPr="007B120C" w:rsidR="008112BA" w:rsidP="00D4514F" w:rsidRDefault="008112BA" w14:paraId="65EBEC9F" w14:textId="77777777">
      <w:pPr>
        <w:jc w:val="center"/>
        <w:rPr>
          <w:rFonts w:ascii="Times New Roman" w:hAnsi="Times New Roman" w:cs="Times New Roman"/>
          <w:b/>
          <w:sz w:val="24"/>
          <w:szCs w:val="24"/>
        </w:rPr>
      </w:pPr>
    </w:p>
    <w:p w:rsidRPr="00AE7BC0" w:rsidR="00840A0D" w:rsidP="00B2378D" w:rsidRDefault="00B2378D" w14:paraId="00049C19" w14:textId="77777777">
      <w:pPr>
        <w:pStyle w:val="ListParagraph"/>
        <w:numPr>
          <w:ilvl w:val="0"/>
          <w:numId w:val="1"/>
        </w:numPr>
        <w:spacing w:after="0" w:line="240" w:lineRule="auto"/>
        <w:jc w:val="both"/>
        <w:rPr>
          <w:rFonts w:ascii="Times New Roman" w:hAnsi="Times New Roman" w:cs="Times New Roman"/>
          <w:b/>
          <w:sz w:val="24"/>
          <w:szCs w:val="24"/>
        </w:rPr>
      </w:pPr>
      <w:r w:rsidRPr="00AE7BC0">
        <w:rPr>
          <w:rFonts w:ascii="Times New Roman" w:hAnsi="Times New Roman" w:cs="Times New Roman"/>
          <w:b/>
          <w:sz w:val="24"/>
          <w:szCs w:val="24"/>
        </w:rPr>
        <w:t>SUMMARY</w:t>
      </w:r>
    </w:p>
    <w:p w:rsidR="00B2378D" w:rsidP="00B2378D" w:rsidRDefault="00B2378D" w14:paraId="4BE522E7" w14:textId="77777777">
      <w:pPr>
        <w:pStyle w:val="ListParagraph"/>
        <w:spacing w:after="0" w:line="240" w:lineRule="auto"/>
        <w:ind w:left="1080"/>
        <w:jc w:val="both"/>
        <w:rPr>
          <w:rFonts w:ascii="Times New Roman" w:hAnsi="Times New Roman" w:cs="Times New Roman"/>
          <w:sz w:val="24"/>
          <w:szCs w:val="24"/>
        </w:rPr>
      </w:pPr>
    </w:p>
    <w:p w:rsidR="00472717" w:rsidP="00472717" w:rsidRDefault="00472717" w14:paraId="3078DE1F" w14:textId="370D7AEF">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purpose of this proposal is to request that the Real Property, Probate, and Trust Law (“RPPTL”) Section of the Florida Bar </w:t>
      </w:r>
      <w:r w:rsidR="003348DE">
        <w:rPr>
          <w:rFonts w:ascii="Times New Roman" w:hAnsi="Times New Roman" w:cs="Times New Roman"/>
          <w:sz w:val="24"/>
          <w:szCs w:val="24"/>
        </w:rPr>
        <w:t>advocate for</w:t>
      </w:r>
      <w:r w:rsidR="000A003F">
        <w:rPr>
          <w:rFonts w:ascii="Times New Roman" w:hAnsi="Times New Roman" w:cs="Times New Roman"/>
          <w:sz w:val="24"/>
          <w:szCs w:val="24"/>
        </w:rPr>
        <w:t xml:space="preserve"> </w:t>
      </w:r>
      <w:r>
        <w:rPr>
          <w:rFonts w:ascii="Times New Roman" w:hAnsi="Times New Roman" w:cs="Times New Roman"/>
          <w:sz w:val="24"/>
          <w:szCs w:val="24"/>
        </w:rPr>
        <w:t>the Florida Legislature to revise Section 95.11(3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 Florida Statutes (2023).  This law establishes the statute of limitations and statute of repose period</w:t>
      </w:r>
      <w:r w:rsidR="00901CC8">
        <w:rPr>
          <w:rFonts w:ascii="Times New Roman" w:hAnsi="Times New Roman" w:cs="Times New Roman"/>
          <w:sz w:val="24"/>
          <w:szCs w:val="24"/>
        </w:rPr>
        <w:t>s</w:t>
      </w:r>
      <w:r>
        <w:rPr>
          <w:rFonts w:ascii="Times New Roman" w:hAnsi="Times New Roman" w:cs="Times New Roman"/>
          <w:sz w:val="24"/>
          <w:szCs w:val="24"/>
        </w:rPr>
        <w:t xml:space="preserve"> for actions founded upon the design, planning, or construction of an improvement to real property.  </w:t>
      </w:r>
    </w:p>
    <w:p w:rsidR="00472717" w:rsidP="00472717" w:rsidRDefault="00472717" w14:paraId="27EE29AC" w14:textId="77777777">
      <w:pPr>
        <w:pStyle w:val="ListParagraph"/>
        <w:spacing w:after="0" w:line="240" w:lineRule="auto"/>
        <w:ind w:left="0" w:firstLine="720"/>
        <w:jc w:val="both"/>
        <w:rPr>
          <w:rFonts w:ascii="Times New Roman" w:hAnsi="Times New Roman" w:cs="Times New Roman"/>
          <w:sz w:val="24"/>
          <w:szCs w:val="24"/>
        </w:rPr>
      </w:pPr>
    </w:p>
    <w:p w:rsidR="00B2378D" w:rsidP="00472717" w:rsidRDefault="00A5185A" w14:paraId="76C1803A" w14:textId="0D9A80F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Of note,</w:t>
      </w:r>
      <w:r w:rsidR="00BB29F0">
        <w:rPr>
          <w:rFonts w:ascii="Times New Roman" w:hAnsi="Times New Roman" w:cs="Times New Roman"/>
          <w:sz w:val="24"/>
          <w:szCs w:val="24"/>
        </w:rPr>
        <w:t xml:space="preserve"> the 2023 revisions to</w:t>
      </w:r>
      <w:r>
        <w:rPr>
          <w:rFonts w:ascii="Times New Roman" w:hAnsi="Times New Roman" w:cs="Times New Roman"/>
          <w:sz w:val="24"/>
          <w:szCs w:val="24"/>
        </w:rPr>
        <w:t xml:space="preserve"> s. 95.11(3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 Fla. Stat.</w:t>
      </w:r>
      <w:r w:rsidR="00BB29F0">
        <w:rPr>
          <w:rFonts w:ascii="Times New Roman" w:hAnsi="Times New Roman" w:cs="Times New Roman"/>
          <w:sz w:val="24"/>
          <w:szCs w:val="24"/>
        </w:rPr>
        <w:t>,</w:t>
      </w:r>
      <w:r>
        <w:rPr>
          <w:rFonts w:ascii="Times New Roman" w:hAnsi="Times New Roman" w:cs="Times New Roman"/>
          <w:sz w:val="24"/>
          <w:szCs w:val="24"/>
        </w:rPr>
        <w:t xml:space="preserve"> eliminated certain</w:t>
      </w:r>
      <w:r w:rsidR="00472717">
        <w:rPr>
          <w:rFonts w:ascii="Times New Roman" w:hAnsi="Times New Roman" w:cs="Times New Roman"/>
          <w:sz w:val="24"/>
          <w:szCs w:val="24"/>
        </w:rPr>
        <w:t xml:space="preserve"> “clock starter</w:t>
      </w:r>
      <w:r>
        <w:rPr>
          <w:rFonts w:ascii="Times New Roman" w:hAnsi="Times New Roman" w:cs="Times New Roman"/>
          <w:sz w:val="24"/>
          <w:szCs w:val="24"/>
        </w:rPr>
        <w:t>,</w:t>
      </w:r>
      <w:r w:rsidR="00472717">
        <w:rPr>
          <w:rFonts w:ascii="Times New Roman" w:hAnsi="Times New Roman" w:cs="Times New Roman"/>
          <w:sz w:val="24"/>
          <w:szCs w:val="24"/>
        </w:rPr>
        <w:t xml:space="preserve">” </w:t>
      </w:r>
      <w:r>
        <w:rPr>
          <w:rFonts w:ascii="Times New Roman" w:hAnsi="Times New Roman" w:cs="Times New Roman"/>
          <w:sz w:val="24"/>
          <w:szCs w:val="24"/>
        </w:rPr>
        <w:t>or</w:t>
      </w:r>
      <w:r w:rsidR="00472717">
        <w:rPr>
          <w:rFonts w:ascii="Times New Roman" w:hAnsi="Times New Roman" w:cs="Times New Roman"/>
          <w:sz w:val="24"/>
          <w:szCs w:val="24"/>
        </w:rPr>
        <w:t xml:space="preserve"> “trigger” events </w:t>
      </w:r>
      <w:r>
        <w:rPr>
          <w:rFonts w:ascii="Times New Roman" w:hAnsi="Times New Roman" w:cs="Times New Roman"/>
          <w:sz w:val="24"/>
          <w:szCs w:val="24"/>
        </w:rPr>
        <w:t>for the</w:t>
      </w:r>
      <w:r w:rsidR="002A02F9">
        <w:rPr>
          <w:rFonts w:ascii="Times New Roman" w:hAnsi="Times New Roman" w:cs="Times New Roman"/>
          <w:sz w:val="24"/>
          <w:szCs w:val="24"/>
        </w:rPr>
        <w:t>se</w:t>
      </w:r>
      <w:r>
        <w:rPr>
          <w:rFonts w:ascii="Times New Roman" w:hAnsi="Times New Roman" w:cs="Times New Roman"/>
          <w:sz w:val="24"/>
          <w:szCs w:val="24"/>
        </w:rPr>
        <w:t xml:space="preserve"> statutes of limitation and repose, in favor of more </w:t>
      </w:r>
      <w:r w:rsidR="00960048">
        <w:rPr>
          <w:rFonts w:ascii="Times New Roman" w:hAnsi="Times New Roman" w:cs="Times New Roman"/>
          <w:sz w:val="24"/>
          <w:szCs w:val="24"/>
        </w:rPr>
        <w:t>discrete</w:t>
      </w:r>
      <w:r>
        <w:rPr>
          <w:rFonts w:ascii="Times New Roman" w:hAnsi="Times New Roman" w:cs="Times New Roman"/>
          <w:sz w:val="24"/>
          <w:szCs w:val="24"/>
        </w:rPr>
        <w:t xml:space="preserve"> deadlines.  However, these </w:t>
      </w:r>
      <w:r w:rsidR="00960048">
        <w:rPr>
          <w:rFonts w:ascii="Times New Roman" w:hAnsi="Times New Roman" w:cs="Times New Roman"/>
          <w:sz w:val="24"/>
          <w:szCs w:val="24"/>
        </w:rPr>
        <w:t>discrete</w:t>
      </w:r>
      <w:r>
        <w:rPr>
          <w:rFonts w:ascii="Times New Roman" w:hAnsi="Times New Roman" w:cs="Times New Roman"/>
          <w:sz w:val="24"/>
          <w:szCs w:val="24"/>
        </w:rPr>
        <w:t xml:space="preserve"> deadlines do not capture the entire universe of</w:t>
      </w:r>
      <w:r w:rsidR="00BB29F0">
        <w:rPr>
          <w:rFonts w:ascii="Times New Roman" w:hAnsi="Times New Roman" w:cs="Times New Roman"/>
          <w:sz w:val="24"/>
          <w:szCs w:val="24"/>
        </w:rPr>
        <w:t xml:space="preserve"> types of</w:t>
      </w:r>
      <w:r>
        <w:rPr>
          <w:rFonts w:ascii="Times New Roman" w:hAnsi="Times New Roman" w:cs="Times New Roman"/>
          <w:sz w:val="24"/>
          <w:szCs w:val="24"/>
        </w:rPr>
        <w:t xml:space="preserve"> improvements to real property, as defined by Florida law. </w:t>
      </w:r>
      <w:r w:rsidR="0077100E">
        <w:rPr>
          <w:rFonts w:ascii="Times New Roman" w:hAnsi="Times New Roman" w:cs="Times New Roman"/>
          <w:sz w:val="24"/>
          <w:szCs w:val="24"/>
        </w:rPr>
        <w:t>In effect, for those types of improvements not captured by the current statute, there</w:t>
      </w:r>
      <w:r w:rsidR="002A02F9">
        <w:rPr>
          <w:rFonts w:ascii="Times New Roman" w:hAnsi="Times New Roman" w:cs="Times New Roman"/>
          <w:sz w:val="24"/>
          <w:szCs w:val="24"/>
        </w:rPr>
        <w:t xml:space="preserve"> is</w:t>
      </w:r>
      <w:r w:rsidR="0077100E">
        <w:rPr>
          <w:rFonts w:ascii="Times New Roman" w:hAnsi="Times New Roman" w:cs="Times New Roman"/>
          <w:sz w:val="24"/>
          <w:szCs w:val="24"/>
        </w:rPr>
        <w:t xml:space="preserve"> effectively either is no statute of limitations, or </w:t>
      </w:r>
      <w:r w:rsidR="002A02F9">
        <w:rPr>
          <w:rFonts w:ascii="Times New Roman" w:hAnsi="Times New Roman" w:cs="Times New Roman"/>
          <w:sz w:val="24"/>
          <w:szCs w:val="24"/>
        </w:rPr>
        <w:t>potentially deferral</w:t>
      </w:r>
      <w:r w:rsidR="0077100E">
        <w:rPr>
          <w:rFonts w:ascii="Times New Roman" w:hAnsi="Times New Roman" w:cs="Times New Roman"/>
          <w:sz w:val="24"/>
          <w:szCs w:val="24"/>
        </w:rPr>
        <w:t xml:space="preserve"> </w:t>
      </w:r>
      <w:r w:rsidR="002A02F9">
        <w:rPr>
          <w:rFonts w:ascii="Times New Roman" w:hAnsi="Times New Roman" w:cs="Times New Roman"/>
          <w:sz w:val="24"/>
          <w:szCs w:val="24"/>
        </w:rPr>
        <w:t>to</w:t>
      </w:r>
      <w:r w:rsidR="0077100E">
        <w:rPr>
          <w:rFonts w:ascii="Times New Roman" w:hAnsi="Times New Roman" w:cs="Times New Roman"/>
          <w:sz w:val="24"/>
          <w:szCs w:val="24"/>
        </w:rPr>
        <w:t xml:space="preserve"> the general </w:t>
      </w:r>
      <w:r w:rsidR="006D7988">
        <w:rPr>
          <w:rFonts w:ascii="Times New Roman" w:hAnsi="Times New Roman" w:cs="Times New Roman"/>
          <w:sz w:val="24"/>
          <w:szCs w:val="24"/>
        </w:rPr>
        <w:t xml:space="preserve">four year </w:t>
      </w:r>
      <w:r w:rsidR="002A02F9">
        <w:rPr>
          <w:rFonts w:ascii="Times New Roman" w:hAnsi="Times New Roman" w:cs="Times New Roman"/>
          <w:sz w:val="24"/>
          <w:szCs w:val="24"/>
        </w:rPr>
        <w:t xml:space="preserve">limitations period, </w:t>
      </w:r>
      <w:r w:rsidR="002A02F9">
        <w:rPr>
          <w:rFonts w:ascii="Times New Roman" w:hAnsi="Times New Roman" w:cs="Times New Roman"/>
          <w:i/>
          <w:sz w:val="24"/>
          <w:szCs w:val="24"/>
        </w:rPr>
        <w:t>see</w:t>
      </w:r>
      <w:r w:rsidR="006D7988">
        <w:rPr>
          <w:rFonts w:ascii="Times New Roman" w:hAnsi="Times New Roman" w:cs="Times New Roman"/>
          <w:sz w:val="24"/>
          <w:szCs w:val="24"/>
        </w:rPr>
        <w:t xml:space="preserve"> s. 95.11(3)(o)</w:t>
      </w:r>
      <w:r w:rsidR="002A02F9">
        <w:rPr>
          <w:rFonts w:ascii="Times New Roman" w:hAnsi="Times New Roman" w:cs="Times New Roman"/>
          <w:sz w:val="24"/>
          <w:szCs w:val="24"/>
        </w:rPr>
        <w:t xml:space="preserve">, </w:t>
      </w:r>
      <w:r w:rsidRPr="002A02F9" w:rsidR="002A02F9">
        <w:rPr>
          <w:rFonts w:ascii="Times New Roman" w:hAnsi="Times New Roman" w:cs="Times New Roman"/>
          <w:i/>
          <w:sz w:val="24"/>
          <w:szCs w:val="24"/>
        </w:rPr>
        <w:t>Fla. Stat.</w:t>
      </w:r>
      <w:r w:rsidR="002A02F9">
        <w:rPr>
          <w:rFonts w:ascii="Times New Roman" w:hAnsi="Times New Roman" w:cs="Times New Roman"/>
          <w:sz w:val="24"/>
          <w:szCs w:val="24"/>
        </w:rPr>
        <w:t xml:space="preserve"> (2023)</w:t>
      </w:r>
      <w:r w:rsidR="006D7988">
        <w:rPr>
          <w:rFonts w:ascii="Times New Roman" w:hAnsi="Times New Roman" w:cs="Times New Roman"/>
          <w:sz w:val="24"/>
          <w:szCs w:val="24"/>
        </w:rPr>
        <w:t>, but with no clarity on when the statute would begin.</w:t>
      </w:r>
      <w:r>
        <w:rPr>
          <w:rFonts w:ascii="Times New Roman" w:hAnsi="Times New Roman" w:cs="Times New Roman"/>
          <w:sz w:val="24"/>
          <w:szCs w:val="24"/>
        </w:rPr>
        <w:t xml:space="preserve"> Further, the law, as amended, resu</w:t>
      </w:r>
      <w:r w:rsidR="00AE7BC0">
        <w:rPr>
          <w:rFonts w:ascii="Times New Roman" w:hAnsi="Times New Roman" w:cs="Times New Roman"/>
          <w:sz w:val="24"/>
          <w:szCs w:val="24"/>
        </w:rPr>
        <w:t xml:space="preserve">lts in the likely unintended premature triggering of the limitations and repose periods, where there has been an abandonment </w:t>
      </w:r>
      <w:proofErr w:type="gramStart"/>
      <w:r w:rsidR="00AE7BC0">
        <w:rPr>
          <w:rFonts w:ascii="Times New Roman" w:hAnsi="Times New Roman" w:cs="Times New Roman"/>
          <w:sz w:val="24"/>
          <w:szCs w:val="24"/>
        </w:rPr>
        <w:t>of</w:t>
      </w:r>
      <w:proofErr w:type="gramEnd"/>
      <w:r w:rsidR="00AE7BC0">
        <w:rPr>
          <w:rFonts w:ascii="Times New Roman" w:hAnsi="Times New Roman" w:cs="Times New Roman"/>
          <w:sz w:val="24"/>
          <w:szCs w:val="24"/>
        </w:rPr>
        <w:t xml:space="preserve"> construction and subsequent completion of the improvement by a completion contractor under the same permit.  Finally, Chapte</w:t>
      </w:r>
      <w:r w:rsidR="002A02F9">
        <w:rPr>
          <w:rFonts w:ascii="Times New Roman" w:hAnsi="Times New Roman" w:cs="Times New Roman"/>
          <w:sz w:val="24"/>
          <w:szCs w:val="24"/>
        </w:rPr>
        <w:t>r 2023-22, Laws of Florida fail</w:t>
      </w:r>
      <w:r w:rsidR="00AE7BC0">
        <w:rPr>
          <w:rFonts w:ascii="Times New Roman" w:hAnsi="Times New Roman" w:cs="Times New Roman"/>
          <w:sz w:val="24"/>
          <w:szCs w:val="24"/>
        </w:rPr>
        <w:t xml:space="preserve"> to contain the </w:t>
      </w:r>
      <w:proofErr w:type="spellStart"/>
      <w:r w:rsidR="00AE7BC0">
        <w:rPr>
          <w:rFonts w:ascii="Times New Roman" w:hAnsi="Times New Roman" w:cs="Times New Roman"/>
          <w:sz w:val="24"/>
          <w:szCs w:val="24"/>
        </w:rPr>
        <w:t>preambular</w:t>
      </w:r>
      <w:proofErr w:type="spellEnd"/>
      <w:r w:rsidR="00AE7BC0">
        <w:rPr>
          <w:rFonts w:ascii="Times New Roman" w:hAnsi="Times New Roman" w:cs="Times New Roman"/>
          <w:sz w:val="24"/>
          <w:szCs w:val="24"/>
        </w:rPr>
        <w:t xml:space="preserve"> findings of its predecessors as to the “public necessity” of shortening the statute of limitations and repose periods, which very well may infringe </w:t>
      </w:r>
      <w:r w:rsidR="002A02F9">
        <w:rPr>
          <w:rFonts w:ascii="Times New Roman" w:hAnsi="Times New Roman" w:cs="Times New Roman"/>
          <w:sz w:val="24"/>
          <w:szCs w:val="24"/>
        </w:rPr>
        <w:t>the</w:t>
      </w:r>
      <w:r w:rsidR="00AE7BC0">
        <w:rPr>
          <w:rFonts w:ascii="Times New Roman" w:hAnsi="Times New Roman" w:cs="Times New Roman"/>
          <w:sz w:val="24"/>
          <w:szCs w:val="24"/>
        </w:rPr>
        <w:t xml:space="preserve"> </w:t>
      </w:r>
      <w:r w:rsidR="002A02F9">
        <w:rPr>
          <w:rFonts w:ascii="Times New Roman" w:hAnsi="Times New Roman" w:cs="Times New Roman"/>
          <w:sz w:val="24"/>
          <w:szCs w:val="24"/>
        </w:rPr>
        <w:t>a</w:t>
      </w:r>
      <w:r w:rsidR="00AE7BC0">
        <w:rPr>
          <w:rFonts w:ascii="Times New Roman" w:hAnsi="Times New Roman" w:cs="Times New Roman"/>
          <w:sz w:val="24"/>
          <w:szCs w:val="24"/>
        </w:rPr>
        <w:t>ccess to courts</w:t>
      </w:r>
      <w:r w:rsidR="002A02F9">
        <w:rPr>
          <w:rFonts w:ascii="Times New Roman" w:hAnsi="Times New Roman" w:cs="Times New Roman"/>
          <w:sz w:val="24"/>
          <w:szCs w:val="24"/>
        </w:rPr>
        <w:t xml:space="preserve"> clause in</w:t>
      </w:r>
      <w:r w:rsidR="00AE7BC0">
        <w:rPr>
          <w:rFonts w:ascii="Times New Roman" w:hAnsi="Times New Roman" w:cs="Times New Roman"/>
          <w:sz w:val="24"/>
          <w:szCs w:val="24"/>
        </w:rPr>
        <w:t xml:space="preserve"> Article I, Section 21 of the Constitution of the State of Florida.</w:t>
      </w:r>
    </w:p>
    <w:p w:rsidR="00AE7BC0" w:rsidP="00472717" w:rsidRDefault="00AE7BC0" w14:paraId="78611B9E" w14:textId="77777777">
      <w:pPr>
        <w:pStyle w:val="ListParagraph"/>
        <w:spacing w:after="0" w:line="240" w:lineRule="auto"/>
        <w:ind w:left="0" w:firstLine="720"/>
        <w:jc w:val="both"/>
        <w:rPr>
          <w:rFonts w:ascii="Times New Roman" w:hAnsi="Times New Roman" w:cs="Times New Roman"/>
          <w:sz w:val="24"/>
          <w:szCs w:val="24"/>
        </w:rPr>
      </w:pPr>
    </w:p>
    <w:p w:rsidR="00AE7BC0" w:rsidP="00472717" w:rsidRDefault="00AE7BC0" w14:paraId="406D61A0" w14:textId="75B0A831">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As such, this legislation proposes revisions to s. 95.11(3)(b), Fla. Stat. (2023) to eliminate these ambiguities</w:t>
      </w:r>
      <w:r w:rsidR="002A02F9">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2A02F9">
        <w:rPr>
          <w:rFonts w:ascii="Times New Roman" w:hAnsi="Times New Roman" w:cs="Times New Roman"/>
          <w:sz w:val="24"/>
          <w:szCs w:val="24"/>
        </w:rPr>
        <w:t xml:space="preserve">its potential </w:t>
      </w:r>
      <w:r>
        <w:rPr>
          <w:rFonts w:ascii="Times New Roman" w:hAnsi="Times New Roman" w:cs="Times New Roman"/>
          <w:sz w:val="24"/>
          <w:szCs w:val="24"/>
        </w:rPr>
        <w:t xml:space="preserve">constitutional infirmity, while at the same time maintaining </w:t>
      </w:r>
      <w:r w:rsidR="002D74F5">
        <w:rPr>
          <w:rFonts w:ascii="Times New Roman" w:hAnsi="Times New Roman" w:cs="Times New Roman"/>
          <w:sz w:val="24"/>
          <w:szCs w:val="24"/>
        </w:rPr>
        <w:t xml:space="preserve">or harmonizing </w:t>
      </w:r>
      <w:r>
        <w:rPr>
          <w:rFonts w:ascii="Times New Roman" w:hAnsi="Times New Roman" w:cs="Times New Roman"/>
          <w:sz w:val="24"/>
          <w:szCs w:val="24"/>
        </w:rPr>
        <w:t xml:space="preserve">other </w:t>
      </w:r>
      <w:r w:rsidR="002A02F9">
        <w:rPr>
          <w:rFonts w:ascii="Times New Roman" w:hAnsi="Times New Roman" w:cs="Times New Roman"/>
          <w:sz w:val="24"/>
          <w:szCs w:val="24"/>
        </w:rPr>
        <w:t xml:space="preserve">prior </w:t>
      </w:r>
      <w:r>
        <w:rPr>
          <w:rFonts w:ascii="Times New Roman" w:hAnsi="Times New Roman" w:cs="Times New Roman"/>
          <w:sz w:val="24"/>
          <w:szCs w:val="24"/>
        </w:rPr>
        <w:t xml:space="preserve">substantive revisions </w:t>
      </w:r>
      <w:r w:rsidR="002A02F9">
        <w:rPr>
          <w:rFonts w:ascii="Times New Roman" w:hAnsi="Times New Roman" w:cs="Times New Roman"/>
          <w:sz w:val="24"/>
          <w:szCs w:val="24"/>
        </w:rPr>
        <w:t>found in the 2018 and</w:t>
      </w:r>
      <w:r w:rsidR="00BB29F0">
        <w:rPr>
          <w:rFonts w:ascii="Times New Roman" w:hAnsi="Times New Roman" w:cs="Times New Roman"/>
          <w:sz w:val="24"/>
          <w:szCs w:val="24"/>
        </w:rPr>
        <w:t xml:space="preserve"> </w:t>
      </w:r>
      <w:r>
        <w:rPr>
          <w:rFonts w:ascii="Times New Roman" w:hAnsi="Times New Roman" w:cs="Times New Roman"/>
          <w:sz w:val="24"/>
          <w:szCs w:val="24"/>
        </w:rPr>
        <w:t xml:space="preserve">2023 </w:t>
      </w:r>
      <w:r w:rsidR="002A02F9">
        <w:rPr>
          <w:rFonts w:ascii="Times New Roman" w:hAnsi="Times New Roman" w:cs="Times New Roman"/>
          <w:sz w:val="24"/>
          <w:szCs w:val="24"/>
        </w:rPr>
        <w:t>versions of the statute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This bill does not have a fiscal impact on state funds.</w:t>
      </w:r>
    </w:p>
    <w:p w:rsidR="00B2378D" w:rsidP="00B2378D" w:rsidRDefault="00B2378D" w14:paraId="26AD0B06" w14:textId="77777777">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CURRENT SITUATION</w:t>
      </w:r>
    </w:p>
    <w:p w:rsidR="00B2378D" w:rsidP="00B2378D" w:rsidRDefault="00B2378D" w14:paraId="578C9B80" w14:textId="77777777">
      <w:pPr>
        <w:pStyle w:val="ListParagraph"/>
        <w:spacing w:after="0" w:line="240" w:lineRule="auto"/>
        <w:ind w:left="1080"/>
        <w:jc w:val="both"/>
        <w:rPr>
          <w:rFonts w:ascii="Times New Roman" w:hAnsi="Times New Roman" w:cs="Times New Roman"/>
          <w:b/>
          <w:sz w:val="24"/>
          <w:szCs w:val="24"/>
        </w:rPr>
      </w:pPr>
    </w:p>
    <w:p w:rsidRPr="00DE7405" w:rsidR="00B2378D" w:rsidP="00B2378D" w:rsidRDefault="00B2378D" w14:paraId="483671CA" w14:textId="77777777">
      <w:pPr>
        <w:pStyle w:val="ListParagraph"/>
        <w:numPr>
          <w:ilvl w:val="1"/>
          <w:numId w:val="1"/>
        </w:numPr>
        <w:spacing w:after="0" w:line="240" w:lineRule="auto"/>
        <w:jc w:val="both"/>
        <w:rPr>
          <w:rFonts w:ascii="Times New Roman" w:hAnsi="Times New Roman" w:cs="Times New Roman"/>
          <w:b/>
          <w:sz w:val="24"/>
          <w:szCs w:val="24"/>
          <w:u w:val="single"/>
        </w:rPr>
      </w:pPr>
      <w:r w:rsidRPr="00DE7405">
        <w:rPr>
          <w:rFonts w:ascii="Times New Roman" w:hAnsi="Times New Roman" w:cs="Times New Roman"/>
          <w:b/>
          <w:sz w:val="24"/>
          <w:szCs w:val="24"/>
          <w:u w:val="single"/>
        </w:rPr>
        <w:t>Statutes of Limitations and Repose</w:t>
      </w:r>
      <w:r w:rsidRPr="00DE7405" w:rsidR="005601E5">
        <w:rPr>
          <w:rFonts w:ascii="Times New Roman" w:hAnsi="Times New Roman" w:cs="Times New Roman"/>
          <w:b/>
          <w:sz w:val="24"/>
          <w:szCs w:val="24"/>
          <w:u w:val="single"/>
        </w:rPr>
        <w:t>, g</w:t>
      </w:r>
      <w:r w:rsidRPr="00DE7405">
        <w:rPr>
          <w:rFonts w:ascii="Times New Roman" w:hAnsi="Times New Roman" w:cs="Times New Roman"/>
          <w:b/>
          <w:sz w:val="24"/>
          <w:szCs w:val="24"/>
          <w:u w:val="single"/>
        </w:rPr>
        <w:t>enerally</w:t>
      </w:r>
    </w:p>
    <w:p w:rsidR="00B2378D" w:rsidP="00B2378D" w:rsidRDefault="00B2378D" w14:paraId="6BB8289F" w14:textId="77777777">
      <w:pPr>
        <w:spacing w:after="0" w:line="240" w:lineRule="auto"/>
        <w:jc w:val="both"/>
        <w:rPr>
          <w:rFonts w:ascii="Times New Roman" w:hAnsi="Times New Roman" w:cs="Times New Roman"/>
          <w:b/>
          <w:sz w:val="24"/>
          <w:szCs w:val="24"/>
          <w:u w:val="single"/>
        </w:rPr>
      </w:pPr>
    </w:p>
    <w:p w:rsidR="00B2378D" w:rsidP="00B2378D" w:rsidRDefault="00B2378D" w14:paraId="12FB5E97" w14:textId="77777777">
      <w:pPr>
        <w:spacing w:after="0" w:line="240" w:lineRule="auto"/>
        <w:ind w:firstLine="720"/>
        <w:jc w:val="both"/>
        <w:rPr>
          <w:rFonts w:ascii="Times New Roman" w:hAnsi="Times New Roman" w:cs="Times New Roman"/>
          <w:sz w:val="24"/>
          <w:szCs w:val="24"/>
        </w:rPr>
      </w:pPr>
      <w:r w:rsidRPr="00B2378D">
        <w:rPr>
          <w:rFonts w:ascii="Times New Roman" w:hAnsi="Times New Roman" w:cs="Times New Roman"/>
          <w:sz w:val="24"/>
          <w:szCs w:val="24"/>
        </w:rPr>
        <w:t>A statute of limitations bars a lawsuit’s filing after a certain amount of time elapses following an injury.</w:t>
      </w:r>
      <w:r w:rsidR="00F044DF">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B2378D">
        <w:rPr>
          <w:rFonts w:ascii="Times New Roman" w:hAnsi="Times New Roman" w:cs="Times New Roman"/>
          <w:sz w:val="24"/>
          <w:szCs w:val="24"/>
        </w:rPr>
        <w:t xml:space="preserve">This </w:t>
      </w:r>
      <w:proofErr w:type="gramStart"/>
      <w:r w:rsidRPr="00B2378D">
        <w:rPr>
          <w:rFonts w:ascii="Times New Roman" w:hAnsi="Times New Roman" w:cs="Times New Roman"/>
          <w:sz w:val="24"/>
          <w:szCs w:val="24"/>
        </w:rPr>
        <w:t>time period</w:t>
      </w:r>
      <w:proofErr w:type="gramEnd"/>
      <w:r w:rsidRPr="00B2378D">
        <w:rPr>
          <w:rFonts w:ascii="Times New Roman" w:hAnsi="Times New Roman" w:cs="Times New Roman"/>
          <w:sz w:val="24"/>
          <w:szCs w:val="24"/>
        </w:rPr>
        <w:t xml:space="preserve"> typically begins to run when a cause of action accrues (that is, on the date of the</w:t>
      </w:r>
      <w:r>
        <w:rPr>
          <w:rFonts w:ascii="Times New Roman" w:hAnsi="Times New Roman" w:cs="Times New Roman"/>
          <w:sz w:val="24"/>
          <w:szCs w:val="24"/>
        </w:rPr>
        <w:t xml:space="preserve"> </w:t>
      </w:r>
      <w:r w:rsidRPr="00B2378D">
        <w:rPr>
          <w:rFonts w:ascii="Times New Roman" w:hAnsi="Times New Roman" w:cs="Times New Roman"/>
          <w:sz w:val="24"/>
          <w:szCs w:val="24"/>
        </w:rPr>
        <w:t>injury), but may also begin to run on the date the injury is discovered or on which it would have been</w:t>
      </w:r>
      <w:r>
        <w:rPr>
          <w:rFonts w:ascii="Times New Roman" w:hAnsi="Times New Roman" w:cs="Times New Roman"/>
          <w:sz w:val="24"/>
          <w:szCs w:val="24"/>
        </w:rPr>
        <w:t xml:space="preserve"> </w:t>
      </w:r>
      <w:r w:rsidRPr="00B2378D">
        <w:rPr>
          <w:rFonts w:ascii="Times New Roman" w:hAnsi="Times New Roman" w:cs="Times New Roman"/>
          <w:sz w:val="24"/>
          <w:szCs w:val="24"/>
        </w:rPr>
        <w:t>discovered with reasonable efforts.</w:t>
      </w:r>
      <w:r w:rsidR="00F044DF">
        <w:rPr>
          <w:rStyle w:val="FootnoteReference"/>
          <w:rFonts w:ascii="Times New Roman" w:hAnsi="Times New Roman" w:cs="Times New Roman"/>
          <w:sz w:val="24"/>
          <w:szCs w:val="24"/>
        </w:rPr>
        <w:footnoteReference w:id="4"/>
      </w:r>
      <w:r w:rsidRPr="00B2378D">
        <w:rPr>
          <w:rFonts w:ascii="Times New Roman" w:hAnsi="Times New Roman" w:cs="Times New Roman"/>
          <w:sz w:val="24"/>
          <w:szCs w:val="24"/>
        </w:rPr>
        <w:t xml:space="preserve"> In other words, a statute of limitations bars the available civil</w:t>
      </w:r>
      <w:r>
        <w:rPr>
          <w:rFonts w:ascii="Times New Roman" w:hAnsi="Times New Roman" w:cs="Times New Roman"/>
          <w:sz w:val="24"/>
          <w:szCs w:val="24"/>
        </w:rPr>
        <w:t xml:space="preserve"> </w:t>
      </w:r>
      <w:r w:rsidRPr="00B2378D">
        <w:rPr>
          <w:rFonts w:ascii="Times New Roman" w:hAnsi="Times New Roman" w:cs="Times New Roman"/>
          <w:sz w:val="24"/>
          <w:szCs w:val="24"/>
        </w:rPr>
        <w:t xml:space="preserve">remedy if a lawsuit </w:t>
      </w:r>
      <w:proofErr w:type="gramStart"/>
      <w:r w:rsidRPr="00B2378D">
        <w:rPr>
          <w:rFonts w:ascii="Times New Roman" w:hAnsi="Times New Roman" w:cs="Times New Roman"/>
          <w:sz w:val="24"/>
          <w:szCs w:val="24"/>
        </w:rPr>
        <w:t>is not timely filed</w:t>
      </w:r>
      <w:proofErr w:type="gramEnd"/>
      <w:r w:rsidRPr="00B2378D">
        <w:rPr>
          <w:rFonts w:ascii="Times New Roman" w:hAnsi="Times New Roman" w:cs="Times New Roman"/>
          <w:sz w:val="24"/>
          <w:szCs w:val="24"/>
        </w:rPr>
        <w:t xml:space="preserve"> after an injury.</w:t>
      </w:r>
    </w:p>
    <w:p w:rsidRPr="00B2378D" w:rsidR="00B2378D" w:rsidP="00B2378D" w:rsidRDefault="00B2378D" w14:paraId="50688006" w14:textId="77777777">
      <w:pPr>
        <w:spacing w:after="0" w:line="240" w:lineRule="auto"/>
        <w:ind w:firstLine="720"/>
        <w:jc w:val="both"/>
        <w:rPr>
          <w:rFonts w:ascii="Times New Roman" w:hAnsi="Times New Roman" w:cs="Times New Roman"/>
          <w:sz w:val="24"/>
          <w:szCs w:val="24"/>
        </w:rPr>
      </w:pPr>
    </w:p>
    <w:p w:rsidR="00B2378D" w:rsidP="00B2378D" w:rsidRDefault="00B2378D" w14:paraId="540456B9" w14:textId="62DB6924">
      <w:pPr>
        <w:spacing w:after="0" w:line="240" w:lineRule="auto"/>
        <w:ind w:firstLine="720"/>
        <w:jc w:val="both"/>
        <w:rPr>
          <w:rFonts w:ascii="Times New Roman" w:hAnsi="Times New Roman" w:cs="Times New Roman"/>
          <w:b/>
          <w:sz w:val="24"/>
          <w:szCs w:val="24"/>
          <w:u w:val="single"/>
        </w:rPr>
      </w:pPr>
      <w:r w:rsidRPr="00B2378D">
        <w:rPr>
          <w:rFonts w:ascii="Times New Roman" w:hAnsi="Times New Roman" w:cs="Times New Roman"/>
          <w:sz w:val="24"/>
          <w:szCs w:val="24"/>
        </w:rPr>
        <w:t>A statute of repose bars the filing of a lawsuit after a fixed period of time passes following a specific act,</w:t>
      </w:r>
      <w:r>
        <w:rPr>
          <w:rFonts w:ascii="Times New Roman" w:hAnsi="Times New Roman" w:cs="Times New Roman"/>
          <w:sz w:val="24"/>
          <w:szCs w:val="24"/>
        </w:rPr>
        <w:t xml:space="preserve"> </w:t>
      </w:r>
      <w:r w:rsidRPr="00B2378D">
        <w:rPr>
          <w:rFonts w:ascii="Times New Roman" w:hAnsi="Times New Roman" w:cs="Times New Roman"/>
          <w:sz w:val="24"/>
          <w:szCs w:val="24"/>
        </w:rPr>
        <w:t>which act is unrelated to the cause of action’s accrual or the injury’s discovery, even if this period ends</w:t>
      </w:r>
      <w:r>
        <w:rPr>
          <w:rFonts w:ascii="Times New Roman" w:hAnsi="Times New Roman" w:cs="Times New Roman"/>
          <w:sz w:val="24"/>
          <w:szCs w:val="24"/>
        </w:rPr>
        <w:t xml:space="preserve"> </w:t>
      </w:r>
      <w:r w:rsidRPr="00B2378D">
        <w:rPr>
          <w:rFonts w:ascii="Times New Roman" w:hAnsi="Times New Roman" w:cs="Times New Roman"/>
          <w:sz w:val="24"/>
          <w:szCs w:val="24"/>
        </w:rPr>
        <w:t>before the plaintiff is injured.</w:t>
      </w:r>
      <w:r w:rsidR="00F044DF">
        <w:rPr>
          <w:rStyle w:val="FootnoteReference"/>
          <w:rFonts w:ascii="Times New Roman" w:hAnsi="Times New Roman" w:cs="Times New Roman"/>
          <w:sz w:val="24"/>
          <w:szCs w:val="24"/>
        </w:rPr>
        <w:footnoteReference w:id="5"/>
      </w:r>
      <w:r w:rsidRPr="00B2378D">
        <w:rPr>
          <w:rFonts w:ascii="Times New Roman" w:hAnsi="Times New Roman" w:cs="Times New Roman"/>
          <w:sz w:val="24"/>
          <w:szCs w:val="24"/>
        </w:rPr>
        <w:t xml:space="preserve"> Further, a statute of repose eliminates the underlying substantive right of</w:t>
      </w:r>
      <w:r>
        <w:rPr>
          <w:rFonts w:ascii="Times New Roman" w:hAnsi="Times New Roman" w:cs="Times New Roman"/>
          <w:sz w:val="24"/>
          <w:szCs w:val="24"/>
        </w:rPr>
        <w:t xml:space="preserve"> </w:t>
      </w:r>
      <w:r w:rsidRPr="00B2378D">
        <w:rPr>
          <w:rFonts w:ascii="Times New Roman" w:hAnsi="Times New Roman" w:cs="Times New Roman"/>
          <w:sz w:val="24"/>
          <w:szCs w:val="24"/>
        </w:rPr>
        <w:t xml:space="preserve">action, not just the available civil remedy, upon expiration of the </w:t>
      </w:r>
      <w:proofErr w:type="gramStart"/>
      <w:r w:rsidRPr="00B2378D">
        <w:rPr>
          <w:rFonts w:ascii="Times New Roman" w:hAnsi="Times New Roman" w:cs="Times New Roman"/>
          <w:sz w:val="24"/>
          <w:szCs w:val="24"/>
        </w:rPr>
        <w:t>statutorily-specified</w:t>
      </w:r>
      <w:proofErr w:type="gramEnd"/>
      <w:r w:rsidRPr="00B2378D">
        <w:rPr>
          <w:rFonts w:ascii="Times New Roman" w:hAnsi="Times New Roman" w:cs="Times New Roman"/>
          <w:sz w:val="24"/>
          <w:szCs w:val="24"/>
        </w:rPr>
        <w:t xml:space="preserve"> filing period.</w:t>
      </w:r>
      <w:r w:rsidR="00F044DF">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Pr="00B2378D">
        <w:rPr>
          <w:rFonts w:ascii="Times New Roman" w:hAnsi="Times New Roman" w:cs="Times New Roman"/>
          <w:sz w:val="24"/>
          <w:szCs w:val="24"/>
        </w:rPr>
        <w:t xml:space="preserve">Courts construe a cause of action </w:t>
      </w:r>
      <w:r w:rsidR="00BB29F0">
        <w:rPr>
          <w:rFonts w:ascii="Times New Roman" w:hAnsi="Times New Roman" w:cs="Times New Roman"/>
          <w:sz w:val="24"/>
          <w:szCs w:val="24"/>
        </w:rPr>
        <w:t>extinguished</w:t>
      </w:r>
      <w:r w:rsidRPr="00B2378D" w:rsidR="00BB29F0">
        <w:rPr>
          <w:rFonts w:ascii="Times New Roman" w:hAnsi="Times New Roman" w:cs="Times New Roman"/>
          <w:sz w:val="24"/>
          <w:szCs w:val="24"/>
        </w:rPr>
        <w:t xml:space="preserve"> </w:t>
      </w:r>
      <w:r w:rsidRPr="00B2378D">
        <w:rPr>
          <w:rFonts w:ascii="Times New Roman" w:hAnsi="Times New Roman" w:cs="Times New Roman"/>
          <w:sz w:val="24"/>
          <w:szCs w:val="24"/>
        </w:rPr>
        <w:t>by a statute of repose as if the right to sue never existed,</w:t>
      </w:r>
      <w:r>
        <w:rPr>
          <w:rFonts w:ascii="Times New Roman" w:hAnsi="Times New Roman" w:cs="Times New Roman"/>
          <w:sz w:val="24"/>
          <w:szCs w:val="24"/>
        </w:rPr>
        <w:t xml:space="preserve"> </w:t>
      </w:r>
      <w:r w:rsidRPr="00B2378D">
        <w:rPr>
          <w:rFonts w:ascii="Times New Roman" w:hAnsi="Times New Roman" w:cs="Times New Roman"/>
          <w:sz w:val="24"/>
          <w:szCs w:val="24"/>
        </w:rPr>
        <w:t>which encourages diligence in the prosecution of claims, eliminates the potential for abuse resulting</w:t>
      </w:r>
      <w:r>
        <w:rPr>
          <w:rFonts w:ascii="Times New Roman" w:hAnsi="Times New Roman" w:cs="Times New Roman"/>
          <w:sz w:val="24"/>
          <w:szCs w:val="24"/>
        </w:rPr>
        <w:t xml:space="preserve"> </w:t>
      </w:r>
      <w:r w:rsidRPr="00B2378D">
        <w:rPr>
          <w:rFonts w:ascii="Times New Roman" w:hAnsi="Times New Roman" w:cs="Times New Roman"/>
          <w:sz w:val="24"/>
          <w:szCs w:val="24"/>
        </w:rPr>
        <w:t xml:space="preserve">from a stale claim, and </w:t>
      </w:r>
      <w:r w:rsidR="00F044DF">
        <w:rPr>
          <w:rFonts w:ascii="Times New Roman" w:hAnsi="Times New Roman" w:cs="Times New Roman"/>
          <w:sz w:val="24"/>
          <w:szCs w:val="24"/>
        </w:rPr>
        <w:t>fosters finality in liability.</w:t>
      </w:r>
      <w:r w:rsidR="00F044DF">
        <w:rPr>
          <w:rStyle w:val="FootnoteReference"/>
          <w:rFonts w:ascii="Times New Roman" w:hAnsi="Times New Roman" w:cs="Times New Roman"/>
          <w:sz w:val="24"/>
          <w:szCs w:val="24"/>
        </w:rPr>
        <w:footnoteReference w:id="7"/>
      </w:r>
      <w:r w:rsidRPr="00B2378D">
        <w:rPr>
          <w:rFonts w:ascii="Times New Roman" w:hAnsi="Times New Roman" w:cs="Times New Roman"/>
          <w:b/>
          <w:sz w:val="24"/>
          <w:szCs w:val="24"/>
          <w:u w:val="single"/>
        </w:rPr>
        <w:cr/>
      </w:r>
    </w:p>
    <w:p w:rsidRPr="00DE7405" w:rsidR="00B2378D" w:rsidP="00B2378D" w:rsidRDefault="00B2378D" w14:paraId="457FCA4D" w14:textId="77777777">
      <w:pPr>
        <w:pStyle w:val="ListParagraph"/>
        <w:numPr>
          <w:ilvl w:val="1"/>
          <w:numId w:val="1"/>
        </w:numPr>
        <w:spacing w:after="0" w:line="240" w:lineRule="auto"/>
        <w:jc w:val="both"/>
        <w:rPr>
          <w:rFonts w:ascii="Times New Roman" w:hAnsi="Times New Roman" w:cs="Times New Roman"/>
          <w:b/>
          <w:sz w:val="24"/>
          <w:szCs w:val="24"/>
          <w:u w:val="single"/>
        </w:rPr>
      </w:pPr>
      <w:r w:rsidRPr="00DE7405">
        <w:rPr>
          <w:rFonts w:ascii="Times New Roman" w:hAnsi="Times New Roman" w:cs="Times New Roman"/>
          <w:b/>
          <w:sz w:val="24"/>
          <w:szCs w:val="24"/>
          <w:u w:val="single"/>
        </w:rPr>
        <w:t>Statute of Limitations and Repose for Construction Defect Actions</w:t>
      </w:r>
      <w:r w:rsidRPr="00DE7405" w:rsidR="005601E5">
        <w:rPr>
          <w:rFonts w:ascii="Times New Roman" w:hAnsi="Times New Roman" w:cs="Times New Roman"/>
          <w:b/>
          <w:sz w:val="24"/>
          <w:szCs w:val="24"/>
          <w:u w:val="single"/>
        </w:rPr>
        <w:t xml:space="preserve"> (Before April 13, 2023)</w:t>
      </w:r>
    </w:p>
    <w:p w:rsidR="005601E5" w:rsidP="005601E5" w:rsidRDefault="005601E5" w14:paraId="5280D6AB" w14:textId="77777777">
      <w:pPr>
        <w:spacing w:after="0" w:line="240" w:lineRule="auto"/>
        <w:jc w:val="both"/>
        <w:rPr>
          <w:rFonts w:ascii="Times New Roman" w:hAnsi="Times New Roman" w:cs="Times New Roman"/>
          <w:sz w:val="24"/>
          <w:szCs w:val="24"/>
          <w:u w:val="single"/>
        </w:rPr>
      </w:pPr>
    </w:p>
    <w:p w:rsidR="005601E5" w:rsidP="002526B8" w:rsidRDefault="005601E5" w14:paraId="33B85123" w14:textId="777777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Before enactment of </w:t>
      </w:r>
      <w:r w:rsidRPr="005601E5">
        <w:rPr>
          <w:rFonts w:ascii="Times New Roman" w:hAnsi="Times New Roman" w:cs="Times New Roman"/>
          <w:sz w:val="24"/>
          <w:szCs w:val="24"/>
        </w:rPr>
        <w:t>Chapter 2023-22, Laws of Florida</w:t>
      </w:r>
      <w:r>
        <w:rPr>
          <w:rFonts w:ascii="Times New Roman" w:hAnsi="Times New Roman" w:cs="Times New Roman"/>
          <w:sz w:val="24"/>
          <w:szCs w:val="24"/>
        </w:rPr>
        <w:t xml:space="preserve"> on April 13, 2023, s</w:t>
      </w:r>
      <w:r w:rsidRPr="005601E5">
        <w:rPr>
          <w:rFonts w:ascii="Times New Roman" w:hAnsi="Times New Roman" w:cs="Times New Roman"/>
          <w:sz w:val="24"/>
          <w:szCs w:val="24"/>
        </w:rPr>
        <w:t>ectio</w:t>
      </w:r>
      <w:r>
        <w:rPr>
          <w:rFonts w:ascii="Times New Roman" w:hAnsi="Times New Roman" w:cs="Times New Roman"/>
          <w:sz w:val="24"/>
          <w:szCs w:val="24"/>
        </w:rPr>
        <w:t>n 95.11(3)(c), F.S., established</w:t>
      </w:r>
      <w:r w:rsidRPr="005601E5">
        <w:rPr>
          <w:rFonts w:ascii="Times New Roman" w:hAnsi="Times New Roman" w:cs="Times New Roman"/>
          <w:sz w:val="24"/>
          <w:szCs w:val="24"/>
        </w:rPr>
        <w:t xml:space="preserve"> the time periods within which a construction defect cause of</w:t>
      </w:r>
      <w:r w:rsidR="002526B8">
        <w:rPr>
          <w:rFonts w:ascii="Times New Roman" w:hAnsi="Times New Roman" w:cs="Times New Roman"/>
          <w:sz w:val="24"/>
          <w:szCs w:val="24"/>
        </w:rPr>
        <w:t xml:space="preserve"> </w:t>
      </w:r>
      <w:r w:rsidRPr="005601E5">
        <w:rPr>
          <w:rFonts w:ascii="Times New Roman" w:hAnsi="Times New Roman" w:cs="Times New Roman"/>
          <w:sz w:val="24"/>
          <w:szCs w:val="24"/>
        </w:rPr>
        <w:t xml:space="preserve">action </w:t>
      </w:r>
      <w:r>
        <w:rPr>
          <w:rFonts w:ascii="Times New Roman" w:hAnsi="Times New Roman" w:cs="Times New Roman"/>
          <w:sz w:val="24"/>
          <w:szCs w:val="24"/>
        </w:rPr>
        <w:t>was required to</w:t>
      </w:r>
      <w:r w:rsidRPr="005601E5">
        <w:rPr>
          <w:rFonts w:ascii="Times New Roman" w:hAnsi="Times New Roman" w:cs="Times New Roman"/>
          <w:sz w:val="24"/>
          <w:szCs w:val="24"/>
        </w:rPr>
        <w:t xml:space="preserve"> be brought. Specifically, for a patent defect,</w:t>
      </w:r>
      <w:r w:rsidR="00F044DF">
        <w:rPr>
          <w:rStyle w:val="FootnoteReference"/>
          <w:rFonts w:ascii="Times New Roman" w:hAnsi="Times New Roman" w:cs="Times New Roman"/>
          <w:sz w:val="24"/>
          <w:szCs w:val="24"/>
        </w:rPr>
        <w:footnoteReference w:id="8"/>
      </w:r>
      <w:r w:rsidRPr="005601E5">
        <w:rPr>
          <w:rFonts w:ascii="Times New Roman" w:hAnsi="Times New Roman" w:cs="Times New Roman"/>
          <w:sz w:val="24"/>
          <w:szCs w:val="24"/>
        </w:rPr>
        <w:t xml:space="preserve"> an action </w:t>
      </w:r>
      <w:proofErr w:type="gramStart"/>
      <w:r>
        <w:rPr>
          <w:rFonts w:ascii="Times New Roman" w:hAnsi="Times New Roman" w:cs="Times New Roman"/>
          <w:sz w:val="24"/>
          <w:szCs w:val="24"/>
        </w:rPr>
        <w:t>was</w:t>
      </w:r>
      <w:r w:rsidRPr="005601E5">
        <w:rPr>
          <w:rFonts w:ascii="Times New Roman" w:hAnsi="Times New Roman" w:cs="Times New Roman"/>
          <w:sz w:val="24"/>
          <w:szCs w:val="24"/>
        </w:rPr>
        <w:t xml:space="preserve"> generally</w:t>
      </w:r>
      <w:r>
        <w:rPr>
          <w:rFonts w:ascii="Times New Roman" w:hAnsi="Times New Roman" w:cs="Times New Roman"/>
          <w:sz w:val="24"/>
          <w:szCs w:val="24"/>
        </w:rPr>
        <w:t xml:space="preserve"> required to</w:t>
      </w:r>
      <w:r w:rsidRPr="005601E5">
        <w:rPr>
          <w:rFonts w:ascii="Times New Roman" w:hAnsi="Times New Roman" w:cs="Times New Roman"/>
          <w:sz w:val="24"/>
          <w:szCs w:val="24"/>
        </w:rPr>
        <w:t xml:space="preserve"> be filed</w:t>
      </w:r>
      <w:proofErr w:type="gramEnd"/>
      <w:r w:rsidRPr="005601E5">
        <w:rPr>
          <w:rFonts w:ascii="Times New Roman" w:hAnsi="Times New Roman" w:cs="Times New Roman"/>
          <w:sz w:val="24"/>
          <w:szCs w:val="24"/>
        </w:rPr>
        <w:t xml:space="preserve"> within four</w:t>
      </w:r>
      <w:r>
        <w:rPr>
          <w:rFonts w:ascii="Times New Roman" w:hAnsi="Times New Roman" w:cs="Times New Roman"/>
          <w:sz w:val="24"/>
          <w:szCs w:val="24"/>
        </w:rPr>
        <w:t xml:space="preserve"> </w:t>
      </w:r>
      <w:r w:rsidRPr="005601E5">
        <w:rPr>
          <w:rFonts w:ascii="Times New Roman" w:hAnsi="Times New Roman" w:cs="Times New Roman"/>
          <w:sz w:val="24"/>
          <w:szCs w:val="24"/>
        </w:rPr>
        <w:t xml:space="preserve">years from the date of the </w:t>
      </w:r>
      <w:r w:rsidRPr="005601E5">
        <w:rPr>
          <w:rFonts w:ascii="Times New Roman" w:hAnsi="Times New Roman" w:cs="Times New Roman"/>
          <w:i/>
          <w:sz w:val="24"/>
          <w:szCs w:val="24"/>
        </w:rPr>
        <w:t>later</w:t>
      </w:r>
      <w:r w:rsidRPr="005601E5">
        <w:rPr>
          <w:rFonts w:ascii="Times New Roman" w:hAnsi="Times New Roman" w:cs="Times New Roman"/>
          <w:sz w:val="24"/>
          <w:szCs w:val="24"/>
        </w:rPr>
        <w:t xml:space="preserve"> of the:</w:t>
      </w:r>
    </w:p>
    <w:p w:rsidRPr="005601E5" w:rsidR="004A1512" w:rsidP="005601E5" w:rsidRDefault="004A1512" w14:paraId="410D7E96" w14:textId="77777777">
      <w:pPr>
        <w:spacing w:after="0" w:line="240" w:lineRule="auto"/>
        <w:jc w:val="both"/>
        <w:rPr>
          <w:rFonts w:ascii="Times New Roman" w:hAnsi="Times New Roman" w:cs="Times New Roman"/>
          <w:sz w:val="24"/>
          <w:szCs w:val="24"/>
        </w:rPr>
      </w:pPr>
    </w:p>
    <w:p w:rsidRPr="005601E5" w:rsidR="005601E5" w:rsidP="005601E5" w:rsidRDefault="005601E5" w14:paraId="3DBE1649" w14:textId="77777777">
      <w:pPr>
        <w:pStyle w:val="ListParagraph"/>
        <w:numPr>
          <w:ilvl w:val="0"/>
          <w:numId w:val="2"/>
        </w:numPr>
        <w:spacing w:after="0" w:line="240" w:lineRule="auto"/>
        <w:jc w:val="both"/>
        <w:rPr>
          <w:rFonts w:ascii="Times New Roman" w:hAnsi="Times New Roman" w:cs="Times New Roman"/>
          <w:sz w:val="24"/>
          <w:szCs w:val="24"/>
        </w:rPr>
      </w:pPr>
      <w:r w:rsidRPr="005601E5">
        <w:rPr>
          <w:rFonts w:ascii="Times New Roman" w:hAnsi="Times New Roman" w:cs="Times New Roman"/>
          <w:sz w:val="24"/>
          <w:szCs w:val="24"/>
        </w:rPr>
        <w:t>Owner’s actual possession;</w:t>
      </w:r>
    </w:p>
    <w:p w:rsidRPr="005601E5" w:rsidR="005601E5" w:rsidP="005601E5" w:rsidRDefault="005601E5" w14:paraId="4069C789" w14:textId="77777777">
      <w:pPr>
        <w:pStyle w:val="ListParagraph"/>
        <w:numPr>
          <w:ilvl w:val="0"/>
          <w:numId w:val="2"/>
        </w:numPr>
        <w:spacing w:after="0" w:line="240" w:lineRule="auto"/>
        <w:jc w:val="both"/>
        <w:rPr>
          <w:rFonts w:ascii="Times New Roman" w:hAnsi="Times New Roman" w:cs="Times New Roman"/>
          <w:sz w:val="24"/>
          <w:szCs w:val="24"/>
        </w:rPr>
      </w:pPr>
      <w:r w:rsidRPr="005601E5">
        <w:rPr>
          <w:rFonts w:ascii="Times New Roman" w:hAnsi="Times New Roman" w:cs="Times New Roman"/>
          <w:sz w:val="24"/>
          <w:szCs w:val="24"/>
        </w:rPr>
        <w:t>Issuance of a certificate of occupancy;</w:t>
      </w:r>
    </w:p>
    <w:p w:rsidRPr="005601E5" w:rsidR="005601E5" w:rsidP="005601E5" w:rsidRDefault="005601E5" w14:paraId="3518A484" w14:textId="77777777">
      <w:pPr>
        <w:pStyle w:val="ListParagraph"/>
        <w:numPr>
          <w:ilvl w:val="0"/>
          <w:numId w:val="2"/>
        </w:numPr>
        <w:spacing w:after="0" w:line="240" w:lineRule="auto"/>
        <w:jc w:val="both"/>
        <w:rPr>
          <w:rFonts w:ascii="Times New Roman" w:hAnsi="Times New Roman" w:cs="Times New Roman"/>
          <w:sz w:val="24"/>
          <w:szCs w:val="24"/>
        </w:rPr>
      </w:pPr>
      <w:r w:rsidRPr="005601E5">
        <w:rPr>
          <w:rFonts w:ascii="Times New Roman" w:hAnsi="Times New Roman" w:cs="Times New Roman"/>
          <w:sz w:val="24"/>
          <w:szCs w:val="24"/>
        </w:rPr>
        <w:t>Construction’s abandonment, if not completed; or</w:t>
      </w:r>
    </w:p>
    <w:p w:rsidRPr="005601E5" w:rsidR="005601E5" w:rsidP="005601E5" w:rsidRDefault="005601E5" w14:paraId="0D6C3C50" w14:textId="77777777">
      <w:pPr>
        <w:pStyle w:val="ListParagraph"/>
        <w:numPr>
          <w:ilvl w:val="0"/>
          <w:numId w:val="2"/>
        </w:numPr>
        <w:spacing w:after="0" w:line="240" w:lineRule="auto"/>
        <w:jc w:val="both"/>
        <w:rPr>
          <w:rFonts w:ascii="Times New Roman" w:hAnsi="Times New Roman" w:cs="Times New Roman"/>
          <w:sz w:val="24"/>
          <w:szCs w:val="24"/>
        </w:rPr>
      </w:pPr>
      <w:r w:rsidRPr="005601E5">
        <w:rPr>
          <w:rFonts w:ascii="Times New Roman" w:hAnsi="Times New Roman" w:cs="Times New Roman"/>
          <w:sz w:val="24"/>
          <w:szCs w:val="24"/>
        </w:rPr>
        <w:lastRenderedPageBreak/>
        <w:t xml:space="preserve">Completion or termination of the engineer’s, </w:t>
      </w:r>
      <w:proofErr w:type="gramStart"/>
      <w:r w:rsidRPr="005601E5">
        <w:rPr>
          <w:rFonts w:ascii="Times New Roman" w:hAnsi="Times New Roman" w:cs="Times New Roman"/>
          <w:sz w:val="24"/>
          <w:szCs w:val="24"/>
        </w:rPr>
        <w:t>architect’s</w:t>
      </w:r>
      <w:proofErr w:type="gramEnd"/>
      <w:r w:rsidRPr="005601E5">
        <w:rPr>
          <w:rFonts w:ascii="Times New Roman" w:hAnsi="Times New Roman" w:cs="Times New Roman"/>
          <w:sz w:val="24"/>
          <w:szCs w:val="24"/>
        </w:rPr>
        <w:t>, or contractor’s contract with his or her</w:t>
      </w:r>
      <w:r>
        <w:rPr>
          <w:rFonts w:ascii="Times New Roman" w:hAnsi="Times New Roman" w:cs="Times New Roman"/>
          <w:sz w:val="24"/>
          <w:szCs w:val="24"/>
        </w:rPr>
        <w:t xml:space="preserve"> </w:t>
      </w:r>
      <w:r w:rsidR="00F044DF">
        <w:rPr>
          <w:rFonts w:ascii="Times New Roman" w:hAnsi="Times New Roman" w:cs="Times New Roman"/>
          <w:sz w:val="24"/>
          <w:szCs w:val="24"/>
        </w:rPr>
        <w:t>employer.</w:t>
      </w:r>
    </w:p>
    <w:p w:rsidRPr="005601E5" w:rsidR="005601E5" w:rsidP="005601E5" w:rsidRDefault="005601E5" w14:paraId="0C52932C" w14:textId="77777777">
      <w:pPr>
        <w:spacing w:after="0" w:line="240" w:lineRule="auto"/>
        <w:jc w:val="both"/>
        <w:rPr>
          <w:rFonts w:ascii="Times New Roman" w:hAnsi="Times New Roman" w:cs="Times New Roman"/>
          <w:sz w:val="24"/>
          <w:szCs w:val="24"/>
        </w:rPr>
      </w:pPr>
    </w:p>
    <w:p w:rsidRPr="005601E5" w:rsidR="005601E5" w:rsidP="005601E5" w:rsidRDefault="005601E5" w14:paraId="56E4A4BF" w14:textId="77777777">
      <w:pPr>
        <w:spacing w:after="0" w:line="240" w:lineRule="auto"/>
        <w:jc w:val="both"/>
        <w:rPr>
          <w:rFonts w:ascii="Times New Roman" w:hAnsi="Times New Roman" w:cs="Times New Roman"/>
          <w:sz w:val="24"/>
          <w:szCs w:val="24"/>
        </w:rPr>
      </w:pPr>
      <w:r w:rsidRPr="005601E5">
        <w:rPr>
          <w:rFonts w:ascii="Times New Roman" w:hAnsi="Times New Roman" w:cs="Times New Roman"/>
          <w:sz w:val="24"/>
          <w:szCs w:val="24"/>
        </w:rPr>
        <w:t xml:space="preserve">However, for a latent defect, the four-year statute of limitations </w:t>
      </w:r>
      <w:r>
        <w:rPr>
          <w:rFonts w:ascii="Times New Roman" w:hAnsi="Times New Roman" w:cs="Times New Roman"/>
          <w:sz w:val="24"/>
          <w:szCs w:val="24"/>
        </w:rPr>
        <w:t xml:space="preserve">would </w:t>
      </w:r>
      <w:r w:rsidRPr="005601E5">
        <w:rPr>
          <w:rFonts w:ascii="Times New Roman" w:hAnsi="Times New Roman" w:cs="Times New Roman"/>
          <w:sz w:val="24"/>
          <w:szCs w:val="24"/>
        </w:rPr>
        <w:t>begin to run on the date the defect</w:t>
      </w:r>
      <w:r>
        <w:rPr>
          <w:rFonts w:ascii="Times New Roman" w:hAnsi="Times New Roman" w:cs="Times New Roman"/>
          <w:sz w:val="24"/>
          <w:szCs w:val="24"/>
        </w:rPr>
        <w:t xml:space="preserve"> </w:t>
      </w:r>
      <w:r w:rsidRPr="005601E5">
        <w:rPr>
          <w:rFonts w:ascii="Times New Roman" w:hAnsi="Times New Roman" w:cs="Times New Roman"/>
          <w:sz w:val="24"/>
          <w:szCs w:val="24"/>
        </w:rPr>
        <w:t>was discovered or should have reasonably been discovered with due diligence. In any event, the</w:t>
      </w:r>
      <w:r>
        <w:rPr>
          <w:rFonts w:ascii="Times New Roman" w:hAnsi="Times New Roman" w:cs="Times New Roman"/>
          <w:sz w:val="24"/>
          <w:szCs w:val="24"/>
        </w:rPr>
        <w:t xml:space="preserve"> </w:t>
      </w:r>
      <w:r w:rsidRPr="005601E5">
        <w:rPr>
          <w:rFonts w:ascii="Times New Roman" w:hAnsi="Times New Roman" w:cs="Times New Roman"/>
          <w:sz w:val="24"/>
          <w:szCs w:val="24"/>
        </w:rPr>
        <w:t>statute of repose provide</w:t>
      </w:r>
      <w:r>
        <w:rPr>
          <w:rFonts w:ascii="Times New Roman" w:hAnsi="Times New Roman" w:cs="Times New Roman"/>
          <w:sz w:val="24"/>
          <w:szCs w:val="24"/>
        </w:rPr>
        <w:t>d</w:t>
      </w:r>
      <w:r w:rsidRPr="005601E5">
        <w:rPr>
          <w:rFonts w:ascii="Times New Roman" w:hAnsi="Times New Roman" w:cs="Times New Roman"/>
          <w:sz w:val="24"/>
          <w:szCs w:val="24"/>
        </w:rPr>
        <w:t xml:space="preserve"> that in no case </w:t>
      </w:r>
      <w:r>
        <w:rPr>
          <w:rFonts w:ascii="Times New Roman" w:hAnsi="Times New Roman" w:cs="Times New Roman"/>
          <w:sz w:val="24"/>
          <w:szCs w:val="24"/>
        </w:rPr>
        <w:t>could</w:t>
      </w:r>
      <w:r w:rsidRPr="005601E5">
        <w:rPr>
          <w:rFonts w:ascii="Times New Roman" w:hAnsi="Times New Roman" w:cs="Times New Roman"/>
          <w:sz w:val="24"/>
          <w:szCs w:val="24"/>
        </w:rPr>
        <w:t xml:space="preserve"> a construction defect claim be filed more</w:t>
      </w:r>
      <w:r>
        <w:rPr>
          <w:rFonts w:ascii="Times New Roman" w:hAnsi="Times New Roman" w:cs="Times New Roman"/>
          <w:sz w:val="24"/>
          <w:szCs w:val="24"/>
        </w:rPr>
        <w:t xml:space="preserve"> </w:t>
      </w:r>
      <w:r w:rsidRPr="005601E5">
        <w:rPr>
          <w:rFonts w:ascii="Times New Roman" w:hAnsi="Times New Roman" w:cs="Times New Roman"/>
          <w:sz w:val="24"/>
          <w:szCs w:val="24"/>
        </w:rPr>
        <w:t xml:space="preserve">than ten years after the </w:t>
      </w:r>
      <w:r w:rsidRPr="005601E5">
        <w:rPr>
          <w:rFonts w:ascii="Times New Roman" w:hAnsi="Times New Roman" w:cs="Times New Roman"/>
          <w:i/>
          <w:sz w:val="24"/>
          <w:szCs w:val="24"/>
        </w:rPr>
        <w:t>latest</w:t>
      </w:r>
      <w:r w:rsidRPr="005601E5">
        <w:rPr>
          <w:rFonts w:ascii="Times New Roman" w:hAnsi="Times New Roman" w:cs="Times New Roman"/>
          <w:sz w:val="24"/>
          <w:szCs w:val="24"/>
        </w:rPr>
        <w:t xml:space="preserve"> of any event triggering the statute of limitations for patent defects. In</w:t>
      </w:r>
      <w:r>
        <w:rPr>
          <w:rFonts w:ascii="Times New Roman" w:hAnsi="Times New Roman" w:cs="Times New Roman"/>
          <w:sz w:val="24"/>
          <w:szCs w:val="24"/>
        </w:rPr>
        <w:t xml:space="preserve"> </w:t>
      </w:r>
      <w:r w:rsidRPr="005601E5">
        <w:rPr>
          <w:rFonts w:ascii="Times New Roman" w:hAnsi="Times New Roman" w:cs="Times New Roman"/>
          <w:sz w:val="24"/>
          <w:szCs w:val="24"/>
        </w:rPr>
        <w:t xml:space="preserve">other words, a construction defect claim </w:t>
      </w:r>
      <w:r>
        <w:rPr>
          <w:rFonts w:ascii="Times New Roman" w:hAnsi="Times New Roman" w:cs="Times New Roman"/>
          <w:sz w:val="24"/>
          <w:szCs w:val="24"/>
        </w:rPr>
        <w:t>would have been</w:t>
      </w:r>
      <w:r w:rsidRPr="005601E5">
        <w:rPr>
          <w:rFonts w:ascii="Times New Roman" w:hAnsi="Times New Roman" w:cs="Times New Roman"/>
          <w:sz w:val="24"/>
          <w:szCs w:val="24"/>
        </w:rPr>
        <w:t xml:space="preserve"> time-barred after ten years from the </w:t>
      </w:r>
      <w:r w:rsidRPr="005601E5">
        <w:rPr>
          <w:rFonts w:ascii="Times New Roman" w:hAnsi="Times New Roman" w:cs="Times New Roman"/>
          <w:i/>
          <w:sz w:val="24"/>
          <w:szCs w:val="24"/>
        </w:rPr>
        <w:t>latest</w:t>
      </w:r>
      <w:r w:rsidRPr="005601E5">
        <w:rPr>
          <w:rFonts w:ascii="Times New Roman" w:hAnsi="Times New Roman" w:cs="Times New Roman"/>
          <w:sz w:val="24"/>
          <w:szCs w:val="24"/>
        </w:rPr>
        <w:t xml:space="preserve"> of any of the</w:t>
      </w:r>
      <w:r>
        <w:rPr>
          <w:rFonts w:ascii="Times New Roman" w:hAnsi="Times New Roman" w:cs="Times New Roman"/>
          <w:sz w:val="24"/>
          <w:szCs w:val="24"/>
        </w:rPr>
        <w:t xml:space="preserve"> </w:t>
      </w:r>
      <w:r w:rsidRPr="005601E5">
        <w:rPr>
          <w:rFonts w:ascii="Times New Roman" w:hAnsi="Times New Roman" w:cs="Times New Roman"/>
          <w:sz w:val="24"/>
          <w:szCs w:val="24"/>
        </w:rPr>
        <w:t>events listed above even where the defect is not yet discovered or could not reasonably have been</w:t>
      </w:r>
      <w:r>
        <w:rPr>
          <w:rFonts w:ascii="Times New Roman" w:hAnsi="Times New Roman" w:cs="Times New Roman"/>
          <w:sz w:val="24"/>
          <w:szCs w:val="24"/>
        </w:rPr>
        <w:t xml:space="preserve"> </w:t>
      </w:r>
      <w:r w:rsidRPr="005601E5">
        <w:rPr>
          <w:rFonts w:ascii="Times New Roman" w:hAnsi="Times New Roman" w:cs="Times New Roman"/>
          <w:sz w:val="24"/>
          <w:szCs w:val="24"/>
        </w:rPr>
        <w:t>discovered with the exercise of due diligence.</w:t>
      </w:r>
    </w:p>
    <w:p w:rsidRPr="005601E5" w:rsidR="005601E5" w:rsidP="005601E5" w:rsidRDefault="005601E5" w14:paraId="1C912235" w14:textId="77777777">
      <w:pPr>
        <w:spacing w:after="0" w:line="240" w:lineRule="auto"/>
        <w:jc w:val="both"/>
        <w:rPr>
          <w:rFonts w:ascii="Times New Roman" w:hAnsi="Times New Roman" w:cs="Times New Roman"/>
          <w:sz w:val="24"/>
          <w:szCs w:val="24"/>
          <w:u w:val="single"/>
        </w:rPr>
      </w:pPr>
    </w:p>
    <w:p w:rsidRPr="00DE7405" w:rsidR="00F6673B" w:rsidP="00B2378D" w:rsidRDefault="00F6673B" w14:paraId="06DA1789" w14:textId="77777777">
      <w:pPr>
        <w:pStyle w:val="ListParagraph"/>
        <w:numPr>
          <w:ilvl w:val="1"/>
          <w:numId w:val="1"/>
        </w:numPr>
        <w:spacing w:after="0" w:line="240" w:lineRule="auto"/>
        <w:jc w:val="both"/>
        <w:rPr>
          <w:rFonts w:ascii="Times New Roman" w:hAnsi="Times New Roman" w:cs="Times New Roman"/>
          <w:b/>
          <w:sz w:val="24"/>
          <w:szCs w:val="24"/>
          <w:u w:val="single"/>
        </w:rPr>
      </w:pPr>
      <w:r w:rsidRPr="00DE7405">
        <w:rPr>
          <w:rFonts w:ascii="Times New Roman" w:hAnsi="Times New Roman" w:cs="Times New Roman"/>
          <w:b/>
          <w:sz w:val="24"/>
          <w:szCs w:val="24"/>
          <w:u w:val="single"/>
        </w:rPr>
        <w:t>CLC techni</w:t>
      </w:r>
      <w:r w:rsidR="00DE7405">
        <w:rPr>
          <w:rFonts w:ascii="Times New Roman" w:hAnsi="Times New Roman" w:cs="Times New Roman"/>
          <w:b/>
          <w:sz w:val="24"/>
          <w:szCs w:val="24"/>
          <w:u w:val="single"/>
        </w:rPr>
        <w:t>cal advice on HB 85 and SB 360</w:t>
      </w:r>
    </w:p>
    <w:p w:rsidR="00F6673B" w:rsidP="00F6673B" w:rsidRDefault="00F6673B" w14:paraId="77C592CC" w14:textId="77777777">
      <w:pPr>
        <w:spacing w:after="0" w:line="240" w:lineRule="auto"/>
        <w:jc w:val="both"/>
        <w:rPr>
          <w:rFonts w:ascii="Times New Roman" w:hAnsi="Times New Roman" w:cs="Times New Roman"/>
          <w:sz w:val="24"/>
          <w:szCs w:val="24"/>
          <w:u w:val="single"/>
        </w:rPr>
      </w:pPr>
    </w:p>
    <w:p w:rsidR="00F6673B" w:rsidP="00F6673B" w:rsidRDefault="00F6673B" w14:paraId="719D8681" w14:textId="2A21CA2A">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Senate Bill 360, and its companion, House Bill 85</w:t>
      </w:r>
      <w:r w:rsidR="002D74F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were filed</w:t>
      </w:r>
      <w:proofErr w:type="gramEnd"/>
      <w:r>
        <w:rPr>
          <w:rFonts w:ascii="Times New Roman" w:hAnsi="Times New Roman" w:cs="Times New Roman"/>
          <w:sz w:val="24"/>
          <w:szCs w:val="24"/>
        </w:rPr>
        <w:t xml:space="preserve"> on January 24, 2023 and December 29, 2022, respectively.  </w:t>
      </w:r>
      <w:r w:rsidR="002D74F5">
        <w:rPr>
          <w:rFonts w:ascii="Times New Roman" w:hAnsi="Times New Roman" w:cs="Times New Roman"/>
          <w:sz w:val="24"/>
          <w:szCs w:val="24"/>
        </w:rPr>
        <w:t>On January 31, 2023, t</w:t>
      </w:r>
      <w:r>
        <w:rPr>
          <w:rFonts w:ascii="Times New Roman" w:hAnsi="Times New Roman" w:cs="Times New Roman"/>
          <w:sz w:val="24"/>
          <w:szCs w:val="24"/>
        </w:rPr>
        <w:t xml:space="preserve">he Legislative Subcommittee of the Construction Law Committee (CLC) of the </w:t>
      </w:r>
      <w:r w:rsidR="002D74F5">
        <w:rPr>
          <w:rFonts w:ascii="Times New Roman" w:hAnsi="Times New Roman" w:cs="Times New Roman"/>
          <w:sz w:val="24"/>
          <w:szCs w:val="24"/>
        </w:rPr>
        <w:t>RPPTL</w:t>
      </w:r>
      <w:r>
        <w:rPr>
          <w:rFonts w:ascii="Times New Roman" w:hAnsi="Times New Roman" w:cs="Times New Roman"/>
          <w:sz w:val="24"/>
          <w:szCs w:val="24"/>
        </w:rPr>
        <w:t xml:space="preserve"> Section of the Florida Bar convened a subcommittee </w:t>
      </w:r>
      <w:r w:rsidR="00023217">
        <w:rPr>
          <w:rFonts w:ascii="Times New Roman" w:hAnsi="Times New Roman" w:cs="Times New Roman"/>
          <w:sz w:val="24"/>
          <w:szCs w:val="24"/>
        </w:rPr>
        <w:t>meeting</w:t>
      </w:r>
      <w:r w:rsidR="002D74F5">
        <w:rPr>
          <w:rFonts w:ascii="Times New Roman" w:hAnsi="Times New Roman" w:cs="Times New Roman"/>
          <w:sz w:val="24"/>
          <w:szCs w:val="24"/>
        </w:rPr>
        <w:t xml:space="preserve"> shortly after receiving notice of the bills </w:t>
      </w:r>
      <w:r>
        <w:rPr>
          <w:rFonts w:ascii="Times New Roman" w:hAnsi="Times New Roman" w:cs="Times New Roman"/>
          <w:sz w:val="24"/>
          <w:szCs w:val="24"/>
        </w:rPr>
        <w:t>to discuss member concerns.  Due to the timing</w:t>
      </w:r>
      <w:r w:rsidR="00023217">
        <w:rPr>
          <w:rFonts w:ascii="Times New Roman" w:hAnsi="Times New Roman" w:cs="Times New Roman"/>
          <w:sz w:val="24"/>
          <w:szCs w:val="24"/>
        </w:rPr>
        <w:t xml:space="preserve"> and substance of</w:t>
      </w:r>
      <w:r>
        <w:rPr>
          <w:rFonts w:ascii="Times New Roman" w:hAnsi="Times New Roman" w:cs="Times New Roman"/>
          <w:sz w:val="24"/>
          <w:szCs w:val="24"/>
        </w:rPr>
        <w:t xml:space="preserve"> HB 85, </w:t>
      </w:r>
      <w:r w:rsidR="00023217">
        <w:rPr>
          <w:rFonts w:ascii="Times New Roman" w:hAnsi="Times New Roman" w:cs="Times New Roman"/>
          <w:sz w:val="24"/>
          <w:szCs w:val="24"/>
        </w:rPr>
        <w:t>the CLC learned that</w:t>
      </w:r>
      <w:r>
        <w:rPr>
          <w:rFonts w:ascii="Times New Roman" w:hAnsi="Times New Roman" w:cs="Times New Roman"/>
          <w:sz w:val="24"/>
          <w:szCs w:val="24"/>
        </w:rPr>
        <w:t xml:space="preserve"> RPPTL would not be able to take a formal position on the proposed legislation.  However, the Legislative Subcommittee was able to reach consensus on a technical advice </w:t>
      </w:r>
      <w:r w:rsidR="00B41A30">
        <w:rPr>
          <w:rFonts w:ascii="Times New Roman" w:hAnsi="Times New Roman" w:cs="Times New Roman"/>
          <w:sz w:val="24"/>
          <w:szCs w:val="24"/>
        </w:rPr>
        <w:t xml:space="preserve">paper </w:t>
      </w:r>
      <w:r>
        <w:rPr>
          <w:rFonts w:ascii="Times New Roman" w:hAnsi="Times New Roman" w:cs="Times New Roman"/>
          <w:sz w:val="24"/>
          <w:szCs w:val="24"/>
        </w:rPr>
        <w:t xml:space="preserve">regarding HB 85 following its January 31, 2023 meeting, which </w:t>
      </w:r>
      <w:proofErr w:type="gramStart"/>
      <w:r>
        <w:rPr>
          <w:rFonts w:ascii="Times New Roman" w:hAnsi="Times New Roman" w:cs="Times New Roman"/>
          <w:sz w:val="24"/>
          <w:szCs w:val="24"/>
        </w:rPr>
        <w:t>was approved</w:t>
      </w:r>
      <w:proofErr w:type="gramEnd"/>
      <w:r>
        <w:rPr>
          <w:rFonts w:ascii="Times New Roman" w:hAnsi="Times New Roman" w:cs="Times New Roman"/>
          <w:sz w:val="24"/>
          <w:szCs w:val="24"/>
        </w:rPr>
        <w:t xml:space="preserve"> during the CLC’s monthly meeting on February 13, 2023.  A copy of these meeting minutes, </w:t>
      </w:r>
      <w:r w:rsidR="00023217">
        <w:rPr>
          <w:rFonts w:ascii="Times New Roman" w:hAnsi="Times New Roman" w:cs="Times New Roman"/>
          <w:sz w:val="24"/>
          <w:szCs w:val="24"/>
        </w:rPr>
        <w:t>and approved technical advice paper</w:t>
      </w:r>
      <w:r>
        <w:rPr>
          <w:rFonts w:ascii="Times New Roman" w:hAnsi="Times New Roman" w:cs="Times New Roman"/>
          <w:sz w:val="24"/>
          <w:szCs w:val="24"/>
        </w:rPr>
        <w:t xml:space="preserve"> </w:t>
      </w:r>
      <w:proofErr w:type="gramStart"/>
      <w:r>
        <w:rPr>
          <w:rFonts w:ascii="Times New Roman" w:hAnsi="Times New Roman" w:cs="Times New Roman"/>
          <w:sz w:val="24"/>
          <w:szCs w:val="24"/>
        </w:rPr>
        <w:t>are enclosed</w:t>
      </w:r>
      <w:proofErr w:type="gramEnd"/>
      <w:r>
        <w:rPr>
          <w:rFonts w:ascii="Times New Roman" w:hAnsi="Times New Roman" w:cs="Times New Roman"/>
          <w:sz w:val="24"/>
          <w:szCs w:val="24"/>
        </w:rPr>
        <w:t xml:space="preserve"> as </w:t>
      </w:r>
      <w:r w:rsidRPr="002F315B" w:rsidR="002F315B">
        <w:rPr>
          <w:rFonts w:ascii="Times New Roman" w:hAnsi="Times New Roman" w:cs="Times New Roman"/>
          <w:b/>
          <w:sz w:val="24"/>
          <w:szCs w:val="24"/>
        </w:rPr>
        <w:t xml:space="preserve">Composite </w:t>
      </w:r>
      <w:r>
        <w:rPr>
          <w:rFonts w:ascii="Times New Roman" w:hAnsi="Times New Roman" w:cs="Times New Roman"/>
          <w:b/>
          <w:sz w:val="24"/>
          <w:szCs w:val="24"/>
        </w:rPr>
        <w:t>Exhibit “A.”</w:t>
      </w:r>
    </w:p>
    <w:p w:rsidR="002F315B" w:rsidP="00F6673B" w:rsidRDefault="002F315B" w14:paraId="433E005E" w14:textId="77777777">
      <w:pPr>
        <w:spacing w:after="0" w:line="240" w:lineRule="auto"/>
        <w:ind w:firstLine="720"/>
        <w:jc w:val="both"/>
        <w:rPr>
          <w:rFonts w:ascii="Times New Roman" w:hAnsi="Times New Roman" w:cs="Times New Roman"/>
          <w:b/>
          <w:sz w:val="24"/>
          <w:szCs w:val="24"/>
        </w:rPr>
      </w:pPr>
    </w:p>
    <w:p w:rsidR="002F315B" w:rsidP="00F6673B" w:rsidRDefault="00023217" w14:paraId="3CA0F994" w14:textId="777777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set forth more fully in </w:t>
      </w:r>
      <w:r w:rsidRPr="002F315B">
        <w:rPr>
          <w:rFonts w:ascii="Times New Roman" w:hAnsi="Times New Roman" w:cs="Times New Roman"/>
          <w:b/>
          <w:sz w:val="24"/>
          <w:szCs w:val="24"/>
        </w:rPr>
        <w:t xml:space="preserve">Composite </w:t>
      </w:r>
      <w:r>
        <w:rPr>
          <w:rFonts w:ascii="Times New Roman" w:hAnsi="Times New Roman" w:cs="Times New Roman"/>
          <w:b/>
          <w:sz w:val="24"/>
          <w:szCs w:val="24"/>
        </w:rPr>
        <w:t>Exhibit “A</w:t>
      </w:r>
      <w:r w:rsidRPr="00023217">
        <w:rPr>
          <w:rFonts w:ascii="Times New Roman" w:hAnsi="Times New Roman" w:cs="Times New Roman"/>
          <w:sz w:val="24"/>
          <w:szCs w:val="24"/>
        </w:rPr>
        <w:t>,</w:t>
      </w:r>
      <w:r>
        <w:rPr>
          <w:rFonts w:ascii="Times New Roman" w:hAnsi="Times New Roman" w:cs="Times New Roman"/>
          <w:b/>
          <w:sz w:val="24"/>
          <w:szCs w:val="24"/>
        </w:rPr>
        <w:t>”</w:t>
      </w:r>
      <w:r w:rsidR="002F315B">
        <w:rPr>
          <w:rFonts w:ascii="Times New Roman" w:hAnsi="Times New Roman" w:cs="Times New Roman"/>
          <w:sz w:val="24"/>
          <w:szCs w:val="24"/>
        </w:rPr>
        <w:t xml:space="preserve"> the </w:t>
      </w:r>
      <w:r>
        <w:rPr>
          <w:rFonts w:ascii="Times New Roman" w:hAnsi="Times New Roman" w:cs="Times New Roman"/>
          <w:sz w:val="24"/>
          <w:szCs w:val="24"/>
        </w:rPr>
        <w:t>CLC</w:t>
      </w:r>
      <w:r w:rsidRPr="002F315B" w:rsidR="002F315B">
        <w:rPr>
          <w:rFonts w:ascii="Times New Roman" w:hAnsi="Times New Roman" w:cs="Times New Roman"/>
          <w:sz w:val="24"/>
          <w:szCs w:val="24"/>
        </w:rPr>
        <w:t xml:space="preserve"> proposed adding a definition to the </w:t>
      </w:r>
      <w:r w:rsidR="002F315B">
        <w:rPr>
          <w:rFonts w:ascii="Times New Roman" w:hAnsi="Times New Roman" w:cs="Times New Roman"/>
          <w:sz w:val="24"/>
          <w:szCs w:val="24"/>
        </w:rPr>
        <w:t>“</w:t>
      </w:r>
      <w:r w:rsidRPr="002F315B" w:rsidR="002F315B">
        <w:rPr>
          <w:rFonts w:ascii="Times New Roman" w:hAnsi="Times New Roman" w:cs="Times New Roman"/>
          <w:sz w:val="24"/>
          <w:szCs w:val="24"/>
        </w:rPr>
        <w:t>triggering</w:t>
      </w:r>
      <w:r w:rsidR="002F315B">
        <w:rPr>
          <w:rFonts w:ascii="Times New Roman" w:hAnsi="Times New Roman" w:cs="Times New Roman"/>
          <w:sz w:val="24"/>
          <w:szCs w:val="24"/>
        </w:rPr>
        <w:t>”</w:t>
      </w:r>
      <w:r w:rsidRPr="002F315B" w:rsidR="002F315B">
        <w:rPr>
          <w:rFonts w:ascii="Times New Roman" w:hAnsi="Times New Roman" w:cs="Times New Roman"/>
          <w:sz w:val="24"/>
          <w:szCs w:val="24"/>
        </w:rPr>
        <w:t xml:space="preserve"> section to capture “approval of the authority having jurisdiction,” t</w:t>
      </w:r>
      <w:r w:rsidR="008B4012">
        <w:rPr>
          <w:rFonts w:ascii="Times New Roman" w:hAnsi="Times New Roman" w:cs="Times New Roman"/>
          <w:sz w:val="24"/>
          <w:szCs w:val="24"/>
        </w:rPr>
        <w:t>o cover scenarios where there would</w:t>
      </w:r>
      <w:r w:rsidRPr="002F315B" w:rsidR="002F315B">
        <w:rPr>
          <w:rFonts w:ascii="Times New Roman" w:hAnsi="Times New Roman" w:cs="Times New Roman"/>
          <w:sz w:val="24"/>
          <w:szCs w:val="24"/>
        </w:rPr>
        <w:t xml:space="preserve"> no TCO, CO or final inspection.</w:t>
      </w:r>
      <w:r w:rsidR="0060199E">
        <w:rPr>
          <w:rFonts w:ascii="Times New Roman" w:hAnsi="Times New Roman" w:cs="Times New Roman"/>
          <w:sz w:val="24"/>
          <w:szCs w:val="24"/>
        </w:rPr>
        <w:t xml:space="preserve">  This was in furtherance of the goal to “</w:t>
      </w:r>
      <w:r w:rsidRPr="0060199E" w:rsidR="0060199E">
        <w:rPr>
          <w:rFonts w:ascii="Times New Roman" w:hAnsi="Times New Roman" w:cs="Times New Roman"/>
          <w:sz w:val="24"/>
          <w:szCs w:val="24"/>
        </w:rPr>
        <w:t>make it the most tec</w:t>
      </w:r>
      <w:r w:rsidR="0060199E">
        <w:rPr>
          <w:rFonts w:ascii="Times New Roman" w:hAnsi="Times New Roman" w:cs="Times New Roman"/>
          <w:sz w:val="24"/>
          <w:szCs w:val="24"/>
        </w:rPr>
        <w:t>hnically correct bill it can be,” since it was reported as likely to pass.</w:t>
      </w:r>
    </w:p>
    <w:p w:rsidR="0060199E" w:rsidP="00F6673B" w:rsidRDefault="0060199E" w14:paraId="06937E08" w14:textId="77777777">
      <w:pPr>
        <w:spacing w:after="0" w:line="240" w:lineRule="auto"/>
        <w:ind w:firstLine="720"/>
        <w:jc w:val="both"/>
        <w:rPr>
          <w:rFonts w:ascii="Times New Roman" w:hAnsi="Times New Roman" w:cs="Times New Roman"/>
          <w:sz w:val="24"/>
          <w:szCs w:val="24"/>
        </w:rPr>
      </w:pPr>
    </w:p>
    <w:p w:rsidRPr="002526B8" w:rsidR="002526B8" w:rsidP="002526B8" w:rsidRDefault="0060199E" w14:paraId="6356B585" w14:textId="130F3A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Although the CLC’s technical advice paper </w:t>
      </w:r>
      <w:proofErr w:type="gramStart"/>
      <w:r>
        <w:rPr>
          <w:rFonts w:ascii="Times New Roman" w:hAnsi="Times New Roman" w:cs="Times New Roman"/>
          <w:sz w:val="24"/>
          <w:szCs w:val="24"/>
        </w:rPr>
        <w:t>was presented</w:t>
      </w:r>
      <w:proofErr w:type="gramEnd"/>
      <w:r>
        <w:rPr>
          <w:rFonts w:ascii="Times New Roman" w:hAnsi="Times New Roman" w:cs="Times New Roman"/>
          <w:sz w:val="24"/>
          <w:szCs w:val="24"/>
        </w:rPr>
        <w:t xml:space="preserve"> to other RPPTL committees and industry trade groups, including a homebuilder’s trade association and Associated General Contractors, th</w:t>
      </w:r>
      <w:r w:rsidR="00023217">
        <w:rPr>
          <w:rFonts w:ascii="Times New Roman" w:hAnsi="Times New Roman" w:cs="Times New Roman"/>
          <w:sz w:val="24"/>
          <w:szCs w:val="24"/>
        </w:rPr>
        <w:t>is</w:t>
      </w:r>
      <w:r>
        <w:rPr>
          <w:rFonts w:ascii="Times New Roman" w:hAnsi="Times New Roman" w:cs="Times New Roman"/>
          <w:sz w:val="24"/>
          <w:szCs w:val="24"/>
        </w:rPr>
        <w:t xml:space="preserve"> technical </w:t>
      </w:r>
      <w:r w:rsidR="00023217">
        <w:rPr>
          <w:rFonts w:ascii="Times New Roman" w:hAnsi="Times New Roman" w:cs="Times New Roman"/>
          <w:sz w:val="24"/>
          <w:szCs w:val="24"/>
        </w:rPr>
        <w:t>advice</w:t>
      </w:r>
      <w:r>
        <w:rPr>
          <w:rFonts w:ascii="Times New Roman" w:hAnsi="Times New Roman" w:cs="Times New Roman"/>
          <w:sz w:val="24"/>
          <w:szCs w:val="24"/>
        </w:rPr>
        <w:t xml:space="preserve"> w</w:t>
      </w:r>
      <w:r w:rsidR="00023217">
        <w:rPr>
          <w:rFonts w:ascii="Times New Roman" w:hAnsi="Times New Roman" w:cs="Times New Roman"/>
          <w:sz w:val="24"/>
          <w:szCs w:val="24"/>
        </w:rPr>
        <w:t>as</w:t>
      </w:r>
      <w:r>
        <w:rPr>
          <w:rFonts w:ascii="Times New Roman" w:hAnsi="Times New Roman" w:cs="Times New Roman"/>
          <w:sz w:val="24"/>
          <w:szCs w:val="24"/>
        </w:rPr>
        <w:t xml:space="preserve"> not incorporated into the final version of the law.</w:t>
      </w:r>
      <w:r w:rsidR="00023217">
        <w:rPr>
          <w:rFonts w:ascii="Times New Roman" w:hAnsi="Times New Roman" w:cs="Times New Roman"/>
          <w:sz w:val="24"/>
          <w:szCs w:val="24"/>
        </w:rPr>
        <w:t xml:space="preserve">  These issues</w:t>
      </w:r>
      <w:r w:rsidR="002526B8">
        <w:rPr>
          <w:rFonts w:ascii="Times New Roman" w:hAnsi="Times New Roman" w:cs="Times New Roman"/>
          <w:sz w:val="24"/>
          <w:szCs w:val="24"/>
        </w:rPr>
        <w:t xml:space="preserve"> </w:t>
      </w:r>
      <w:proofErr w:type="gramStart"/>
      <w:r w:rsidR="002526B8">
        <w:rPr>
          <w:rFonts w:ascii="Times New Roman" w:hAnsi="Times New Roman" w:cs="Times New Roman"/>
          <w:sz w:val="24"/>
          <w:szCs w:val="24"/>
        </w:rPr>
        <w:t>were presented</w:t>
      </w:r>
      <w:proofErr w:type="gramEnd"/>
      <w:r w:rsidR="002526B8">
        <w:rPr>
          <w:rFonts w:ascii="Times New Roman" w:hAnsi="Times New Roman" w:cs="Times New Roman"/>
          <w:sz w:val="24"/>
          <w:szCs w:val="24"/>
        </w:rPr>
        <w:t xml:space="preserve"> to the CLC membership again at the RPPTL’s 2023 Construction Law Institute</w:t>
      </w:r>
      <w:r w:rsidR="00B41A30">
        <w:rPr>
          <w:rFonts w:ascii="Times New Roman" w:hAnsi="Times New Roman" w:cs="Times New Roman"/>
          <w:sz w:val="24"/>
          <w:szCs w:val="24"/>
        </w:rPr>
        <w:t xml:space="preserve"> on March 17, 2023, a little over 2 weeks before the Senate voted to approve C</w:t>
      </w:r>
      <w:r w:rsidR="002D74F5">
        <w:rPr>
          <w:rFonts w:ascii="Times New Roman" w:hAnsi="Times New Roman" w:cs="Times New Roman"/>
          <w:sz w:val="24"/>
          <w:szCs w:val="24"/>
        </w:rPr>
        <w:t xml:space="preserve">ommittee Substitute </w:t>
      </w:r>
      <w:r w:rsidR="00B41A30">
        <w:rPr>
          <w:rFonts w:ascii="Times New Roman" w:hAnsi="Times New Roman" w:cs="Times New Roman"/>
          <w:sz w:val="24"/>
          <w:szCs w:val="24"/>
        </w:rPr>
        <w:t>for SB 360, as amended</w:t>
      </w:r>
      <w:r w:rsidR="002526B8">
        <w:rPr>
          <w:rFonts w:ascii="Times New Roman" w:hAnsi="Times New Roman" w:cs="Times New Roman"/>
          <w:sz w:val="24"/>
          <w:szCs w:val="24"/>
        </w:rPr>
        <w:t>.</w:t>
      </w:r>
      <w:r w:rsidR="002526B8">
        <w:rPr>
          <w:rStyle w:val="FootnoteReference"/>
          <w:rFonts w:ascii="Times New Roman" w:hAnsi="Times New Roman" w:cs="Times New Roman"/>
          <w:sz w:val="24"/>
          <w:szCs w:val="24"/>
        </w:rPr>
        <w:footnoteReference w:id="9"/>
      </w:r>
      <w:r w:rsidR="002526B8">
        <w:rPr>
          <w:rFonts w:ascii="Times New Roman" w:hAnsi="Times New Roman" w:cs="Times New Roman"/>
          <w:sz w:val="24"/>
          <w:szCs w:val="24"/>
        </w:rPr>
        <w:t xml:space="preserve"> </w:t>
      </w:r>
    </w:p>
    <w:p w:rsidRPr="00F6673B" w:rsidR="00F6673B" w:rsidP="00F6673B" w:rsidRDefault="00F6673B" w14:paraId="107EAD80" w14:textId="77777777">
      <w:pPr>
        <w:pStyle w:val="ListParagraph"/>
        <w:spacing w:after="0" w:line="240" w:lineRule="auto"/>
        <w:ind w:left="1440"/>
        <w:jc w:val="both"/>
        <w:rPr>
          <w:rFonts w:ascii="Times New Roman" w:hAnsi="Times New Roman" w:cs="Times New Roman"/>
          <w:sz w:val="24"/>
          <w:szCs w:val="24"/>
        </w:rPr>
      </w:pPr>
    </w:p>
    <w:p w:rsidRPr="00DE7405" w:rsidR="005601E5" w:rsidP="00B2378D" w:rsidRDefault="006C3ED0" w14:paraId="66D2B67A" w14:textId="77777777">
      <w:pPr>
        <w:pStyle w:val="ListParagraph"/>
        <w:numPr>
          <w:ilvl w:val="1"/>
          <w:numId w:val="1"/>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 95.11(3)(b</w:t>
      </w:r>
      <w:r w:rsidRPr="00DE7405" w:rsidR="005601E5">
        <w:rPr>
          <w:rFonts w:ascii="Times New Roman" w:hAnsi="Times New Roman" w:cs="Times New Roman"/>
          <w:b/>
          <w:sz w:val="24"/>
          <w:szCs w:val="24"/>
          <w:u w:val="single"/>
        </w:rPr>
        <w:t>), F.S., as amended by Chapte</w:t>
      </w:r>
      <w:r w:rsidR="00023217">
        <w:rPr>
          <w:rFonts w:ascii="Times New Roman" w:hAnsi="Times New Roman" w:cs="Times New Roman"/>
          <w:b/>
          <w:sz w:val="24"/>
          <w:szCs w:val="24"/>
          <w:u w:val="single"/>
        </w:rPr>
        <w:t>r 2023-22, Laws of Florida (</w:t>
      </w:r>
      <w:r w:rsidRPr="00DE7405" w:rsidR="005601E5">
        <w:rPr>
          <w:rFonts w:ascii="Times New Roman" w:hAnsi="Times New Roman" w:cs="Times New Roman"/>
          <w:b/>
          <w:sz w:val="24"/>
          <w:szCs w:val="24"/>
          <w:u w:val="single"/>
        </w:rPr>
        <w:t>April 13, 2023)</w:t>
      </w:r>
    </w:p>
    <w:p w:rsidR="00B2378D" w:rsidP="00B2378D" w:rsidRDefault="00B2378D" w14:paraId="3CAF6241" w14:textId="77777777">
      <w:pPr>
        <w:spacing w:after="0" w:line="240" w:lineRule="auto"/>
        <w:jc w:val="both"/>
        <w:rPr>
          <w:rFonts w:ascii="Times New Roman" w:hAnsi="Times New Roman" w:cs="Times New Roman"/>
          <w:sz w:val="24"/>
          <w:szCs w:val="24"/>
        </w:rPr>
      </w:pPr>
    </w:p>
    <w:p w:rsidR="005601E5" w:rsidP="005601E5" w:rsidRDefault="005601E5" w14:paraId="2F591BB9" w14:textId="777777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April 13, 2023, Gov. Ron DeSantis signed into law </w:t>
      </w:r>
      <w:hyperlink w:history="1" r:id="rId8">
        <w:r w:rsidRPr="005601E5">
          <w:rPr>
            <w:rStyle w:val="Hyperlink"/>
            <w:rFonts w:ascii="Times New Roman" w:hAnsi="Times New Roman" w:cs="Times New Roman"/>
            <w:sz w:val="24"/>
            <w:szCs w:val="24"/>
          </w:rPr>
          <w:t>Committee Substitute for Senate Bill No. 360</w:t>
        </w:r>
      </w:hyperlink>
      <w:r>
        <w:rPr>
          <w:rFonts w:ascii="Times New Roman" w:hAnsi="Times New Roman" w:cs="Times New Roman"/>
          <w:sz w:val="24"/>
          <w:szCs w:val="24"/>
        </w:rPr>
        <w:t xml:space="preserve">.  </w:t>
      </w:r>
      <w:r>
        <w:rPr>
          <w:rFonts w:ascii="Times New Roman" w:hAnsi="Times New Roman" w:cs="Times New Roman"/>
          <w:i/>
          <w:sz w:val="24"/>
          <w:szCs w:val="24"/>
        </w:rPr>
        <w:t>See</w:t>
      </w:r>
      <w:r>
        <w:rPr>
          <w:rFonts w:ascii="Times New Roman" w:hAnsi="Times New Roman" w:cs="Times New Roman"/>
          <w:sz w:val="24"/>
          <w:szCs w:val="24"/>
        </w:rPr>
        <w:t xml:space="preserve"> </w:t>
      </w:r>
      <w:hyperlink w:history="1" r:id="rId9">
        <w:r w:rsidR="00AE7BC0">
          <w:rPr>
            <w:rStyle w:val="Hyperlink"/>
            <w:rFonts w:ascii="Times New Roman" w:hAnsi="Times New Roman" w:cs="Times New Roman"/>
            <w:sz w:val="24"/>
            <w:szCs w:val="24"/>
          </w:rPr>
          <w:t>Chapter 2023-22, Laws of Florida</w:t>
        </w:r>
      </w:hyperlink>
      <w:r>
        <w:rPr>
          <w:rFonts w:ascii="Times New Roman" w:hAnsi="Times New Roman" w:cs="Times New Roman"/>
          <w:sz w:val="24"/>
          <w:szCs w:val="24"/>
        </w:rPr>
        <w:t xml:space="preserve"> (Apr. 13, 2023).  Under this law, t</w:t>
      </w:r>
      <w:r w:rsidRPr="005601E5">
        <w:rPr>
          <w:rFonts w:ascii="Times New Roman" w:hAnsi="Times New Roman" w:cs="Times New Roman"/>
          <w:sz w:val="24"/>
          <w:szCs w:val="24"/>
        </w:rPr>
        <w:t xml:space="preserve">he first </w:t>
      </w:r>
      <w:r w:rsidRPr="005601E5">
        <w:rPr>
          <w:rFonts w:ascii="Times New Roman" w:hAnsi="Times New Roman" w:cs="Times New Roman"/>
          <w:sz w:val="24"/>
          <w:szCs w:val="24"/>
        </w:rPr>
        <w:lastRenderedPageBreak/>
        <w:t>principal r</w:t>
      </w:r>
      <w:r>
        <w:rPr>
          <w:rFonts w:ascii="Times New Roman" w:hAnsi="Times New Roman" w:cs="Times New Roman"/>
          <w:sz w:val="24"/>
          <w:szCs w:val="24"/>
        </w:rPr>
        <w:t>evision to Section 95.11(3</w:t>
      </w:r>
      <w:proofErr w:type="gramStart"/>
      <w:r>
        <w:rPr>
          <w:rFonts w:ascii="Times New Roman" w:hAnsi="Times New Roman" w:cs="Times New Roman"/>
          <w:sz w:val="24"/>
          <w:szCs w:val="24"/>
        </w:rPr>
        <w:t>)(</w:t>
      </w:r>
      <w:proofErr w:type="gramEnd"/>
      <w:r w:rsidR="006C3ED0">
        <w:rPr>
          <w:rFonts w:ascii="Times New Roman" w:hAnsi="Times New Roman" w:cs="Times New Roman"/>
          <w:sz w:val="24"/>
          <w:szCs w:val="24"/>
        </w:rPr>
        <w:t>b</w:t>
      </w:r>
      <w:r>
        <w:rPr>
          <w:rFonts w:ascii="Times New Roman" w:hAnsi="Times New Roman" w:cs="Times New Roman"/>
          <w:sz w:val="24"/>
          <w:szCs w:val="24"/>
        </w:rPr>
        <w:t>) was</w:t>
      </w:r>
      <w:r w:rsidRPr="005601E5">
        <w:rPr>
          <w:rFonts w:ascii="Times New Roman" w:hAnsi="Times New Roman" w:cs="Times New Roman"/>
          <w:sz w:val="24"/>
          <w:szCs w:val="24"/>
        </w:rPr>
        <w:t xml:space="preserve"> to revise and simplify the date when the “clock” starts in t</w:t>
      </w:r>
      <w:r>
        <w:rPr>
          <w:rFonts w:ascii="Times New Roman" w:hAnsi="Times New Roman" w:cs="Times New Roman"/>
          <w:sz w:val="24"/>
          <w:szCs w:val="24"/>
        </w:rPr>
        <w:t>wo</w:t>
      </w:r>
      <w:r w:rsidRPr="005601E5">
        <w:rPr>
          <w:rFonts w:ascii="Times New Roman" w:hAnsi="Times New Roman" w:cs="Times New Roman"/>
          <w:sz w:val="24"/>
          <w:szCs w:val="24"/>
        </w:rPr>
        <w:t xml:space="preserve"> significant ways. Before the amendment, the statute provided four categorical options with the clock starting upon the latest of those events. </w:t>
      </w:r>
      <w:r w:rsidR="0060199E">
        <w:rPr>
          <w:rFonts w:ascii="Times New Roman" w:hAnsi="Times New Roman" w:cs="Times New Roman"/>
          <w:sz w:val="24"/>
          <w:szCs w:val="24"/>
        </w:rPr>
        <w:t>The new law e</w:t>
      </w:r>
      <w:r w:rsidRPr="005601E5" w:rsidR="00E74E88">
        <w:rPr>
          <w:rFonts w:ascii="Times New Roman" w:hAnsi="Times New Roman" w:cs="Times New Roman"/>
          <w:sz w:val="24"/>
          <w:szCs w:val="24"/>
        </w:rPr>
        <w:t>liminated</w:t>
      </w:r>
      <w:r w:rsidRPr="005601E5">
        <w:rPr>
          <w:rFonts w:ascii="Times New Roman" w:hAnsi="Times New Roman" w:cs="Times New Roman"/>
          <w:sz w:val="24"/>
          <w:szCs w:val="24"/>
        </w:rPr>
        <w:t xml:space="preserve"> </w:t>
      </w:r>
      <w:r w:rsidR="0060199E">
        <w:rPr>
          <w:rFonts w:ascii="Times New Roman" w:hAnsi="Times New Roman" w:cs="Times New Roman"/>
          <w:sz w:val="24"/>
          <w:szCs w:val="24"/>
        </w:rPr>
        <w:t xml:space="preserve">to of these options </w:t>
      </w:r>
      <w:r w:rsidRPr="005601E5">
        <w:rPr>
          <w:rFonts w:ascii="Times New Roman" w:hAnsi="Times New Roman" w:cs="Times New Roman"/>
          <w:sz w:val="24"/>
          <w:szCs w:val="24"/>
        </w:rPr>
        <w:t>from the list: the date of “actual possession by the owner</w:t>
      </w:r>
      <w:r w:rsidR="0060199E">
        <w:rPr>
          <w:rFonts w:ascii="Times New Roman" w:hAnsi="Times New Roman" w:cs="Times New Roman"/>
          <w:sz w:val="24"/>
          <w:szCs w:val="24"/>
        </w:rPr>
        <w:t>,</w:t>
      </w:r>
      <w:r w:rsidRPr="005601E5">
        <w:rPr>
          <w:rFonts w:ascii="Times New Roman" w:hAnsi="Times New Roman" w:cs="Times New Roman"/>
          <w:sz w:val="24"/>
          <w:szCs w:val="24"/>
        </w:rPr>
        <w:t xml:space="preserve">” and the date of “completion of the contract or termination of the contract.” </w:t>
      </w:r>
      <w:r w:rsidR="0060199E">
        <w:rPr>
          <w:rFonts w:ascii="Times New Roman" w:hAnsi="Times New Roman" w:cs="Times New Roman"/>
          <w:sz w:val="24"/>
          <w:szCs w:val="24"/>
        </w:rPr>
        <w:t>Historically, t</w:t>
      </w:r>
      <w:r w:rsidRPr="005601E5">
        <w:rPr>
          <w:rFonts w:ascii="Times New Roman" w:hAnsi="Times New Roman" w:cs="Times New Roman"/>
          <w:sz w:val="24"/>
          <w:szCs w:val="24"/>
        </w:rPr>
        <w:t>hose two options prompted a host of disputes (and inconsistent results at t</w:t>
      </w:r>
      <w:r w:rsidR="00E74E88">
        <w:rPr>
          <w:rFonts w:ascii="Times New Roman" w:hAnsi="Times New Roman" w:cs="Times New Roman"/>
          <w:sz w:val="24"/>
          <w:szCs w:val="24"/>
        </w:rPr>
        <w:t>he trial level)</w:t>
      </w:r>
      <w:r w:rsidRPr="005601E5">
        <w:rPr>
          <w:rFonts w:ascii="Times New Roman" w:hAnsi="Times New Roman" w:cs="Times New Roman"/>
          <w:sz w:val="24"/>
          <w:szCs w:val="24"/>
        </w:rPr>
        <w:t xml:space="preserve"> because of their inherent imprecision.</w:t>
      </w:r>
      <w:r w:rsidR="00F044DF">
        <w:rPr>
          <w:rStyle w:val="FootnoteReference"/>
          <w:rFonts w:ascii="Times New Roman" w:hAnsi="Times New Roman" w:cs="Times New Roman"/>
          <w:sz w:val="24"/>
          <w:szCs w:val="24"/>
        </w:rPr>
        <w:footnoteReference w:id="10"/>
      </w:r>
    </w:p>
    <w:p w:rsidRPr="005601E5" w:rsidR="005601E5" w:rsidP="005601E5" w:rsidRDefault="005601E5" w14:paraId="08896652" w14:textId="77777777">
      <w:pPr>
        <w:spacing w:after="0" w:line="240" w:lineRule="auto"/>
        <w:ind w:firstLine="720"/>
        <w:jc w:val="both"/>
        <w:rPr>
          <w:rFonts w:ascii="Times New Roman" w:hAnsi="Times New Roman" w:cs="Times New Roman"/>
          <w:sz w:val="24"/>
          <w:szCs w:val="24"/>
        </w:rPr>
      </w:pPr>
    </w:p>
    <w:p w:rsidR="00B2378D" w:rsidP="00E74E88" w:rsidRDefault="005601E5" w14:paraId="1A2710AA" w14:textId="77777777">
      <w:pPr>
        <w:spacing w:after="0" w:line="240" w:lineRule="auto"/>
        <w:ind w:firstLine="720"/>
        <w:jc w:val="both"/>
        <w:rPr>
          <w:rFonts w:ascii="Times New Roman" w:hAnsi="Times New Roman" w:cs="Times New Roman"/>
          <w:sz w:val="24"/>
          <w:szCs w:val="24"/>
        </w:rPr>
      </w:pPr>
      <w:r w:rsidRPr="005601E5">
        <w:rPr>
          <w:rFonts w:ascii="Times New Roman" w:hAnsi="Times New Roman" w:cs="Times New Roman"/>
          <w:sz w:val="24"/>
          <w:szCs w:val="24"/>
        </w:rPr>
        <w:t>The law</w:t>
      </w:r>
      <w:r w:rsidR="00CE4264">
        <w:rPr>
          <w:rFonts w:ascii="Times New Roman" w:hAnsi="Times New Roman" w:cs="Times New Roman"/>
          <w:sz w:val="24"/>
          <w:szCs w:val="24"/>
        </w:rPr>
        <w:t>, as amended,</w:t>
      </w:r>
      <w:r w:rsidRPr="005601E5">
        <w:rPr>
          <w:rFonts w:ascii="Times New Roman" w:hAnsi="Times New Roman" w:cs="Times New Roman"/>
          <w:sz w:val="24"/>
          <w:szCs w:val="24"/>
        </w:rPr>
        <w:t xml:space="preserve"> create</w:t>
      </w:r>
      <w:r w:rsidR="00CE4264">
        <w:rPr>
          <w:rFonts w:ascii="Times New Roman" w:hAnsi="Times New Roman" w:cs="Times New Roman"/>
          <w:sz w:val="24"/>
          <w:szCs w:val="24"/>
        </w:rPr>
        <w:t>d</w:t>
      </w:r>
      <w:r w:rsidRPr="005601E5">
        <w:rPr>
          <w:rFonts w:ascii="Times New Roman" w:hAnsi="Times New Roman" w:cs="Times New Roman"/>
          <w:sz w:val="24"/>
          <w:szCs w:val="24"/>
        </w:rPr>
        <w:t xml:space="preserve"> two basic categories of “clock-starter” events. The first </w:t>
      </w:r>
      <w:r w:rsidR="00CE4264">
        <w:rPr>
          <w:rFonts w:ascii="Times New Roman" w:hAnsi="Times New Roman" w:cs="Times New Roman"/>
          <w:sz w:val="24"/>
          <w:szCs w:val="24"/>
        </w:rPr>
        <w:t>wa</w:t>
      </w:r>
      <w:r w:rsidRPr="005601E5">
        <w:rPr>
          <w:rFonts w:ascii="Times New Roman" w:hAnsi="Times New Roman" w:cs="Times New Roman"/>
          <w:sz w:val="24"/>
          <w:szCs w:val="24"/>
        </w:rPr>
        <w:t xml:space="preserve">s the issuance of a certificate from the authority having jurisdiction (either a temporary certificate of occupancy, a certificate of occupancy, or a certificate of completion); the second </w:t>
      </w:r>
      <w:r w:rsidR="0060199E">
        <w:rPr>
          <w:rFonts w:ascii="Times New Roman" w:hAnsi="Times New Roman" w:cs="Times New Roman"/>
          <w:sz w:val="24"/>
          <w:szCs w:val="24"/>
        </w:rPr>
        <w:t>was</w:t>
      </w:r>
      <w:r w:rsidR="00E74E88">
        <w:rPr>
          <w:rFonts w:ascii="Times New Roman" w:hAnsi="Times New Roman" w:cs="Times New Roman"/>
          <w:sz w:val="24"/>
          <w:szCs w:val="24"/>
        </w:rPr>
        <w:t xml:space="preserve"> abandonment of construction.  </w:t>
      </w:r>
      <w:r w:rsidRPr="005601E5">
        <w:rPr>
          <w:rFonts w:ascii="Times New Roman" w:hAnsi="Times New Roman" w:cs="Times New Roman"/>
          <w:sz w:val="24"/>
          <w:szCs w:val="24"/>
        </w:rPr>
        <w:t xml:space="preserve">The </w:t>
      </w:r>
      <w:r w:rsidR="00CE4264">
        <w:rPr>
          <w:rFonts w:ascii="Times New Roman" w:hAnsi="Times New Roman" w:cs="Times New Roman"/>
          <w:sz w:val="24"/>
          <w:szCs w:val="24"/>
        </w:rPr>
        <w:t xml:space="preserve">second </w:t>
      </w:r>
      <w:r w:rsidRPr="005601E5">
        <w:rPr>
          <w:rFonts w:ascii="Times New Roman" w:hAnsi="Times New Roman" w:cs="Times New Roman"/>
          <w:sz w:val="24"/>
          <w:szCs w:val="24"/>
        </w:rPr>
        <w:t>“clock-starter” revision</w:t>
      </w:r>
      <w:r w:rsidR="00CE4264">
        <w:rPr>
          <w:rFonts w:ascii="Times New Roman" w:hAnsi="Times New Roman" w:cs="Times New Roman"/>
          <w:sz w:val="24"/>
          <w:szCs w:val="24"/>
        </w:rPr>
        <w:t xml:space="preserve"> category at issue in this White Paper</w:t>
      </w:r>
      <w:r w:rsidRPr="005601E5">
        <w:rPr>
          <w:rFonts w:ascii="Times New Roman" w:hAnsi="Times New Roman" w:cs="Times New Roman"/>
          <w:sz w:val="24"/>
          <w:szCs w:val="24"/>
        </w:rPr>
        <w:t xml:space="preserve"> was to change from the clock starting upon the </w:t>
      </w:r>
      <w:r w:rsidRPr="00CE4264">
        <w:rPr>
          <w:rFonts w:ascii="Times New Roman" w:hAnsi="Times New Roman" w:cs="Times New Roman"/>
          <w:i/>
          <w:sz w:val="24"/>
          <w:szCs w:val="24"/>
        </w:rPr>
        <w:t>latest</w:t>
      </w:r>
      <w:r w:rsidRPr="005601E5">
        <w:rPr>
          <w:rFonts w:ascii="Times New Roman" w:hAnsi="Times New Roman" w:cs="Times New Roman"/>
          <w:sz w:val="24"/>
          <w:szCs w:val="24"/>
        </w:rPr>
        <w:t xml:space="preserve"> of the listed events to, now, starting at the </w:t>
      </w:r>
      <w:r w:rsidRPr="00CE4264">
        <w:rPr>
          <w:rFonts w:ascii="Times New Roman" w:hAnsi="Times New Roman" w:cs="Times New Roman"/>
          <w:i/>
          <w:sz w:val="24"/>
          <w:szCs w:val="24"/>
        </w:rPr>
        <w:t>earliest</w:t>
      </w:r>
      <w:r w:rsidRPr="005601E5">
        <w:rPr>
          <w:rFonts w:ascii="Times New Roman" w:hAnsi="Times New Roman" w:cs="Times New Roman"/>
          <w:sz w:val="24"/>
          <w:szCs w:val="24"/>
        </w:rPr>
        <w:t xml:space="preserve"> of the events listed.</w:t>
      </w:r>
    </w:p>
    <w:p w:rsidR="00CE4264" w:rsidP="00E74E88" w:rsidRDefault="00CE4264" w14:paraId="67B6F810" w14:textId="77777777">
      <w:pPr>
        <w:spacing w:after="0" w:line="240" w:lineRule="auto"/>
        <w:ind w:firstLine="720"/>
        <w:jc w:val="both"/>
        <w:rPr>
          <w:rFonts w:ascii="Times New Roman" w:hAnsi="Times New Roman" w:cs="Times New Roman"/>
          <w:sz w:val="24"/>
          <w:szCs w:val="24"/>
        </w:rPr>
      </w:pPr>
    </w:p>
    <w:p w:rsidR="00CE4264" w:rsidP="00CE4264" w:rsidRDefault="00CE4264" w14:paraId="71576164" w14:textId="777777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summary, the law, as amended, </w:t>
      </w:r>
      <w:r w:rsidRPr="00CE4264">
        <w:rPr>
          <w:rFonts w:ascii="Times New Roman" w:hAnsi="Times New Roman" w:cs="Times New Roman"/>
          <w:sz w:val="24"/>
          <w:szCs w:val="24"/>
        </w:rPr>
        <w:t>modif</w:t>
      </w:r>
      <w:r>
        <w:rPr>
          <w:rFonts w:ascii="Times New Roman" w:hAnsi="Times New Roman" w:cs="Times New Roman"/>
          <w:sz w:val="24"/>
          <w:szCs w:val="24"/>
        </w:rPr>
        <w:t>ied</w:t>
      </w:r>
      <w:r w:rsidRPr="00CE4264">
        <w:rPr>
          <w:rFonts w:ascii="Times New Roman" w:hAnsi="Times New Roman" w:cs="Times New Roman"/>
          <w:sz w:val="24"/>
          <w:szCs w:val="24"/>
        </w:rPr>
        <w:t xml:space="preserve"> the </w:t>
      </w:r>
      <w:r w:rsidRPr="00CE4264" w:rsidR="0060199E">
        <w:rPr>
          <w:rFonts w:ascii="Times New Roman" w:hAnsi="Times New Roman" w:cs="Times New Roman"/>
          <w:sz w:val="24"/>
          <w:szCs w:val="24"/>
        </w:rPr>
        <w:t>periods</w:t>
      </w:r>
      <w:r w:rsidRPr="00CE4264">
        <w:rPr>
          <w:rFonts w:ascii="Times New Roman" w:hAnsi="Times New Roman" w:cs="Times New Roman"/>
          <w:sz w:val="24"/>
          <w:szCs w:val="24"/>
        </w:rPr>
        <w:t xml:space="preserve"> within which a construction defect cause of</w:t>
      </w:r>
      <w:r>
        <w:rPr>
          <w:rFonts w:ascii="Times New Roman" w:hAnsi="Times New Roman" w:cs="Times New Roman"/>
          <w:sz w:val="24"/>
          <w:szCs w:val="24"/>
        </w:rPr>
        <w:t xml:space="preserve"> </w:t>
      </w:r>
      <w:r w:rsidRPr="00CE4264">
        <w:rPr>
          <w:rFonts w:ascii="Times New Roman" w:hAnsi="Times New Roman" w:cs="Times New Roman"/>
          <w:sz w:val="24"/>
          <w:szCs w:val="24"/>
        </w:rPr>
        <w:t xml:space="preserve">action </w:t>
      </w:r>
      <w:proofErr w:type="gramStart"/>
      <w:r w:rsidRPr="00CE4264">
        <w:rPr>
          <w:rFonts w:ascii="Times New Roman" w:hAnsi="Times New Roman" w:cs="Times New Roman"/>
          <w:sz w:val="24"/>
          <w:szCs w:val="24"/>
        </w:rPr>
        <w:t>must be brought</w:t>
      </w:r>
      <w:proofErr w:type="gramEnd"/>
      <w:r w:rsidRPr="00CE4264">
        <w:rPr>
          <w:rFonts w:ascii="Times New Roman" w:hAnsi="Times New Roman" w:cs="Times New Roman"/>
          <w:sz w:val="24"/>
          <w:szCs w:val="24"/>
        </w:rPr>
        <w:t>. Specifically, the bill:</w:t>
      </w:r>
    </w:p>
    <w:p w:rsidRPr="00CE4264" w:rsidR="00CE4264" w:rsidP="00CE4264" w:rsidRDefault="00CE4264" w14:paraId="40402287" w14:textId="77777777">
      <w:pPr>
        <w:spacing w:after="0" w:line="240" w:lineRule="auto"/>
        <w:ind w:firstLine="720"/>
        <w:jc w:val="both"/>
        <w:rPr>
          <w:rFonts w:ascii="Times New Roman" w:hAnsi="Times New Roman" w:cs="Times New Roman"/>
          <w:sz w:val="24"/>
          <w:szCs w:val="24"/>
        </w:rPr>
      </w:pPr>
    </w:p>
    <w:p w:rsidR="00CE4264" w:rsidP="00CE4264" w:rsidRDefault="00CE4264" w14:paraId="77796FC7" w14:textId="77777777">
      <w:pPr>
        <w:pStyle w:val="ListParagraph"/>
        <w:numPr>
          <w:ilvl w:val="0"/>
          <w:numId w:val="3"/>
        </w:numPr>
        <w:spacing w:after="0" w:line="240" w:lineRule="auto"/>
        <w:jc w:val="both"/>
        <w:rPr>
          <w:rFonts w:ascii="Times New Roman" w:hAnsi="Times New Roman" w:cs="Times New Roman"/>
          <w:sz w:val="24"/>
          <w:szCs w:val="24"/>
        </w:rPr>
      </w:pPr>
      <w:r w:rsidRPr="00CE4264">
        <w:rPr>
          <w:rFonts w:ascii="Times New Roman" w:hAnsi="Times New Roman" w:cs="Times New Roman"/>
          <w:sz w:val="24"/>
          <w:szCs w:val="24"/>
        </w:rPr>
        <w:t>Change</w:t>
      </w:r>
      <w:r w:rsidR="004A1512">
        <w:rPr>
          <w:rFonts w:ascii="Times New Roman" w:hAnsi="Times New Roman" w:cs="Times New Roman"/>
          <w:sz w:val="24"/>
          <w:szCs w:val="24"/>
        </w:rPr>
        <w:t>d</w:t>
      </w:r>
      <w:r w:rsidRPr="00CE4264">
        <w:rPr>
          <w:rFonts w:ascii="Times New Roman" w:hAnsi="Times New Roman" w:cs="Times New Roman"/>
          <w:sz w:val="24"/>
          <w:szCs w:val="24"/>
        </w:rPr>
        <w:t xml:space="preserve"> the point from which the four-year statute of limitations begins to run for patent defects to the date of the </w:t>
      </w:r>
      <w:r w:rsidRPr="004A1512">
        <w:rPr>
          <w:rFonts w:ascii="Times New Roman" w:hAnsi="Times New Roman" w:cs="Times New Roman"/>
          <w:i/>
          <w:sz w:val="24"/>
          <w:szCs w:val="24"/>
        </w:rPr>
        <w:t>earliest</w:t>
      </w:r>
      <w:r w:rsidRPr="00CE4264">
        <w:rPr>
          <w:rFonts w:ascii="Times New Roman" w:hAnsi="Times New Roman" w:cs="Times New Roman"/>
          <w:sz w:val="24"/>
          <w:szCs w:val="24"/>
        </w:rPr>
        <w:t xml:space="preserve"> of the:</w:t>
      </w:r>
    </w:p>
    <w:p w:rsidR="00CE4264" w:rsidP="00CE4264" w:rsidRDefault="00CE4264" w14:paraId="08C2243A" w14:textId="77777777">
      <w:pPr>
        <w:pStyle w:val="ListParagraph"/>
        <w:numPr>
          <w:ilvl w:val="1"/>
          <w:numId w:val="3"/>
        </w:numPr>
        <w:spacing w:after="0" w:line="240" w:lineRule="auto"/>
        <w:jc w:val="both"/>
        <w:rPr>
          <w:rFonts w:ascii="Times New Roman" w:hAnsi="Times New Roman" w:cs="Times New Roman"/>
          <w:sz w:val="24"/>
          <w:szCs w:val="24"/>
        </w:rPr>
      </w:pPr>
      <w:r w:rsidRPr="00CE4264">
        <w:rPr>
          <w:rFonts w:ascii="Times New Roman" w:hAnsi="Times New Roman" w:cs="Times New Roman"/>
          <w:sz w:val="24"/>
          <w:szCs w:val="24"/>
        </w:rPr>
        <w:t>Issuance of a tem</w:t>
      </w:r>
      <w:r>
        <w:rPr>
          <w:rFonts w:ascii="Times New Roman" w:hAnsi="Times New Roman" w:cs="Times New Roman"/>
          <w:sz w:val="24"/>
          <w:szCs w:val="24"/>
        </w:rPr>
        <w:t>porary certificate of occupancy;</w:t>
      </w:r>
    </w:p>
    <w:p w:rsidR="00CE4264" w:rsidP="00CE4264" w:rsidRDefault="00CE4264" w14:paraId="1AF46D29" w14:textId="77777777">
      <w:pPr>
        <w:pStyle w:val="ListParagraph"/>
        <w:numPr>
          <w:ilvl w:val="1"/>
          <w:numId w:val="3"/>
        </w:numPr>
        <w:spacing w:after="0" w:line="240" w:lineRule="auto"/>
        <w:jc w:val="both"/>
        <w:rPr>
          <w:rFonts w:ascii="Times New Roman" w:hAnsi="Times New Roman" w:cs="Times New Roman"/>
          <w:sz w:val="24"/>
          <w:szCs w:val="24"/>
        </w:rPr>
      </w:pPr>
      <w:r w:rsidRPr="00CE4264">
        <w:rPr>
          <w:rFonts w:ascii="Times New Roman" w:hAnsi="Times New Roman" w:cs="Times New Roman"/>
          <w:sz w:val="24"/>
          <w:szCs w:val="24"/>
        </w:rPr>
        <w:t>Issuance of a certificate of occupancy;</w:t>
      </w:r>
    </w:p>
    <w:p w:rsidR="00CE4264" w:rsidP="00CE4264" w:rsidRDefault="00CE4264" w14:paraId="2E0C7831" w14:textId="77777777">
      <w:pPr>
        <w:pStyle w:val="ListParagraph"/>
        <w:numPr>
          <w:ilvl w:val="1"/>
          <w:numId w:val="3"/>
        </w:numPr>
        <w:spacing w:after="0" w:line="240" w:lineRule="auto"/>
        <w:jc w:val="both"/>
        <w:rPr>
          <w:rFonts w:ascii="Times New Roman" w:hAnsi="Times New Roman" w:cs="Times New Roman"/>
          <w:sz w:val="24"/>
          <w:szCs w:val="24"/>
        </w:rPr>
      </w:pPr>
      <w:r w:rsidRPr="00CE4264">
        <w:rPr>
          <w:rFonts w:ascii="Times New Roman" w:hAnsi="Times New Roman" w:cs="Times New Roman"/>
          <w:sz w:val="24"/>
          <w:szCs w:val="24"/>
        </w:rPr>
        <w:t>Issuance of a certificate of completion; or</w:t>
      </w:r>
    </w:p>
    <w:p w:rsidR="00CE4264" w:rsidP="00CE4264" w:rsidRDefault="00CE4264" w14:paraId="2F6BAF6B" w14:textId="77777777">
      <w:pPr>
        <w:pStyle w:val="ListParagraph"/>
        <w:numPr>
          <w:ilvl w:val="1"/>
          <w:numId w:val="3"/>
        </w:numPr>
        <w:spacing w:after="0" w:line="240" w:lineRule="auto"/>
        <w:jc w:val="both"/>
        <w:rPr>
          <w:rFonts w:ascii="Times New Roman" w:hAnsi="Times New Roman" w:cs="Times New Roman"/>
          <w:sz w:val="24"/>
          <w:szCs w:val="24"/>
        </w:rPr>
      </w:pPr>
      <w:r w:rsidRPr="00CE4264">
        <w:rPr>
          <w:rFonts w:ascii="Times New Roman" w:hAnsi="Times New Roman" w:cs="Times New Roman"/>
          <w:sz w:val="24"/>
          <w:szCs w:val="24"/>
        </w:rPr>
        <w:t>Construction’s abandonment, if not completed.</w:t>
      </w:r>
    </w:p>
    <w:p w:rsidR="00CE4264" w:rsidP="00CE4264" w:rsidRDefault="00CE4264" w14:paraId="51355783" w14:textId="77777777">
      <w:pPr>
        <w:pStyle w:val="ListParagraph"/>
        <w:spacing w:after="0" w:line="240" w:lineRule="auto"/>
        <w:ind w:left="1440"/>
        <w:jc w:val="both"/>
        <w:rPr>
          <w:rFonts w:ascii="Times New Roman" w:hAnsi="Times New Roman" w:cs="Times New Roman"/>
          <w:sz w:val="24"/>
          <w:szCs w:val="24"/>
        </w:rPr>
      </w:pPr>
    </w:p>
    <w:p w:rsidR="00CE4264" w:rsidP="00CE4264" w:rsidRDefault="00CE4264" w14:paraId="066B2CE9" w14:textId="77777777">
      <w:pPr>
        <w:pStyle w:val="ListParagraph"/>
        <w:numPr>
          <w:ilvl w:val="0"/>
          <w:numId w:val="3"/>
        </w:numPr>
        <w:spacing w:after="0" w:line="240" w:lineRule="auto"/>
        <w:jc w:val="both"/>
        <w:rPr>
          <w:rFonts w:ascii="Times New Roman" w:hAnsi="Times New Roman" w:cs="Times New Roman"/>
          <w:sz w:val="24"/>
          <w:szCs w:val="24"/>
        </w:rPr>
      </w:pPr>
      <w:r w:rsidRPr="00CE4264">
        <w:rPr>
          <w:rFonts w:ascii="Times New Roman" w:hAnsi="Times New Roman" w:cs="Times New Roman"/>
          <w:sz w:val="24"/>
          <w:szCs w:val="24"/>
        </w:rPr>
        <w:t>Decrease</w:t>
      </w:r>
      <w:r w:rsidR="004A1512">
        <w:rPr>
          <w:rFonts w:ascii="Times New Roman" w:hAnsi="Times New Roman" w:cs="Times New Roman"/>
          <w:sz w:val="24"/>
          <w:szCs w:val="24"/>
        </w:rPr>
        <w:t>d</w:t>
      </w:r>
      <w:r w:rsidRPr="00CE4264">
        <w:rPr>
          <w:rFonts w:ascii="Times New Roman" w:hAnsi="Times New Roman" w:cs="Times New Roman"/>
          <w:sz w:val="24"/>
          <w:szCs w:val="24"/>
        </w:rPr>
        <w:t xml:space="preserve"> the statute of repose from ten years to seven years, running from the date of the </w:t>
      </w:r>
      <w:r w:rsidRPr="004A1512">
        <w:rPr>
          <w:rFonts w:ascii="Times New Roman" w:hAnsi="Times New Roman" w:cs="Times New Roman"/>
          <w:i/>
          <w:sz w:val="24"/>
          <w:szCs w:val="24"/>
        </w:rPr>
        <w:t>earliest</w:t>
      </w:r>
      <w:r w:rsidRPr="00CE4264">
        <w:rPr>
          <w:rFonts w:ascii="Times New Roman" w:hAnsi="Times New Roman" w:cs="Times New Roman"/>
          <w:sz w:val="24"/>
          <w:szCs w:val="24"/>
        </w:rPr>
        <w:t xml:space="preserve"> of the:</w:t>
      </w:r>
    </w:p>
    <w:p w:rsidR="00CE4264" w:rsidP="00CE4264" w:rsidRDefault="00CE4264" w14:paraId="58A6A4D5" w14:textId="77777777">
      <w:pPr>
        <w:pStyle w:val="ListParagraph"/>
        <w:numPr>
          <w:ilvl w:val="1"/>
          <w:numId w:val="3"/>
        </w:numPr>
        <w:spacing w:after="0" w:line="240" w:lineRule="auto"/>
        <w:jc w:val="both"/>
        <w:rPr>
          <w:rFonts w:ascii="Times New Roman" w:hAnsi="Times New Roman" w:cs="Times New Roman"/>
          <w:sz w:val="24"/>
          <w:szCs w:val="24"/>
        </w:rPr>
      </w:pPr>
      <w:r w:rsidRPr="00CE4264">
        <w:rPr>
          <w:rFonts w:ascii="Times New Roman" w:hAnsi="Times New Roman" w:cs="Times New Roman"/>
          <w:sz w:val="24"/>
          <w:szCs w:val="24"/>
        </w:rPr>
        <w:t>Issuance of a temporary certificate of occupancy;</w:t>
      </w:r>
    </w:p>
    <w:p w:rsidR="00CE4264" w:rsidP="00CE4264" w:rsidRDefault="00CE4264" w14:paraId="0C0E7672" w14:textId="77777777">
      <w:pPr>
        <w:pStyle w:val="ListParagraph"/>
        <w:numPr>
          <w:ilvl w:val="1"/>
          <w:numId w:val="3"/>
        </w:numPr>
        <w:spacing w:after="0" w:line="240" w:lineRule="auto"/>
        <w:jc w:val="both"/>
        <w:rPr>
          <w:rFonts w:ascii="Times New Roman" w:hAnsi="Times New Roman" w:cs="Times New Roman"/>
          <w:sz w:val="24"/>
          <w:szCs w:val="24"/>
        </w:rPr>
      </w:pPr>
      <w:r w:rsidRPr="00CE4264">
        <w:rPr>
          <w:rFonts w:ascii="Times New Roman" w:hAnsi="Times New Roman" w:cs="Times New Roman"/>
          <w:sz w:val="24"/>
          <w:szCs w:val="24"/>
        </w:rPr>
        <w:t>Issuance of a certificate of occupancy;</w:t>
      </w:r>
    </w:p>
    <w:p w:rsidR="00CE4264" w:rsidP="00CE4264" w:rsidRDefault="00CE4264" w14:paraId="21E29895" w14:textId="77777777">
      <w:pPr>
        <w:pStyle w:val="ListParagraph"/>
        <w:numPr>
          <w:ilvl w:val="1"/>
          <w:numId w:val="3"/>
        </w:numPr>
        <w:spacing w:after="0" w:line="240" w:lineRule="auto"/>
        <w:jc w:val="both"/>
        <w:rPr>
          <w:rFonts w:ascii="Times New Roman" w:hAnsi="Times New Roman" w:cs="Times New Roman"/>
          <w:sz w:val="24"/>
          <w:szCs w:val="24"/>
        </w:rPr>
      </w:pPr>
      <w:r w:rsidRPr="00CE4264">
        <w:rPr>
          <w:rFonts w:ascii="Times New Roman" w:hAnsi="Times New Roman" w:cs="Times New Roman"/>
          <w:sz w:val="24"/>
          <w:szCs w:val="24"/>
        </w:rPr>
        <w:t>Issuance of a certificate of completion; or</w:t>
      </w:r>
    </w:p>
    <w:p w:rsidR="00CE4264" w:rsidP="00CE4264" w:rsidRDefault="00CE4264" w14:paraId="0D044334" w14:textId="77777777">
      <w:pPr>
        <w:pStyle w:val="ListParagraph"/>
        <w:numPr>
          <w:ilvl w:val="1"/>
          <w:numId w:val="3"/>
        </w:numPr>
        <w:spacing w:after="0" w:line="240" w:lineRule="auto"/>
        <w:jc w:val="both"/>
        <w:rPr>
          <w:rFonts w:ascii="Times New Roman" w:hAnsi="Times New Roman" w:cs="Times New Roman"/>
          <w:sz w:val="24"/>
          <w:szCs w:val="24"/>
        </w:rPr>
      </w:pPr>
      <w:r w:rsidRPr="00CE4264">
        <w:rPr>
          <w:rFonts w:ascii="Times New Roman" w:hAnsi="Times New Roman" w:cs="Times New Roman"/>
          <w:sz w:val="24"/>
          <w:szCs w:val="24"/>
        </w:rPr>
        <w:t>Construction’s abandonment, if not completed.</w:t>
      </w:r>
    </w:p>
    <w:p w:rsidR="004A1512" w:rsidP="004A1512" w:rsidRDefault="004A1512" w14:paraId="7792E8C5" w14:textId="77777777">
      <w:pPr>
        <w:pStyle w:val="ListParagraph"/>
        <w:spacing w:after="0" w:line="240" w:lineRule="auto"/>
        <w:ind w:left="1440"/>
        <w:jc w:val="both"/>
        <w:rPr>
          <w:rFonts w:ascii="Times New Roman" w:hAnsi="Times New Roman" w:cs="Times New Roman"/>
          <w:sz w:val="24"/>
          <w:szCs w:val="24"/>
        </w:rPr>
      </w:pPr>
    </w:p>
    <w:p w:rsidRPr="00DE7405" w:rsidR="00C527DA" w:rsidP="00C527DA" w:rsidRDefault="00C527DA" w14:paraId="59F8C753" w14:textId="270E1D1F">
      <w:pPr>
        <w:pStyle w:val="ListParagraph"/>
        <w:numPr>
          <w:ilvl w:val="1"/>
          <w:numId w:val="1"/>
        </w:numPr>
        <w:spacing w:after="0" w:line="240" w:lineRule="auto"/>
        <w:jc w:val="both"/>
        <w:rPr>
          <w:rFonts w:ascii="Times New Roman" w:hAnsi="Times New Roman" w:cs="Times New Roman"/>
          <w:b/>
          <w:sz w:val="24"/>
          <w:szCs w:val="24"/>
        </w:rPr>
      </w:pPr>
      <w:r w:rsidRPr="00DE7405">
        <w:rPr>
          <w:rFonts w:ascii="Times New Roman" w:hAnsi="Times New Roman" w:cs="Times New Roman"/>
          <w:b/>
          <w:sz w:val="24"/>
          <w:szCs w:val="24"/>
          <w:u w:val="single"/>
        </w:rPr>
        <w:t>Ambiguity regarding the “clock sta</w:t>
      </w:r>
      <w:r w:rsidRPr="00DE7405" w:rsidR="00145748">
        <w:rPr>
          <w:rFonts w:ascii="Times New Roman" w:hAnsi="Times New Roman" w:cs="Times New Roman"/>
          <w:b/>
          <w:sz w:val="24"/>
          <w:szCs w:val="24"/>
          <w:u w:val="single"/>
        </w:rPr>
        <w:t>rter” events in s</w:t>
      </w:r>
      <w:r w:rsidRPr="00DE7405">
        <w:rPr>
          <w:rFonts w:ascii="Times New Roman" w:hAnsi="Times New Roman" w:cs="Times New Roman"/>
          <w:b/>
          <w:sz w:val="24"/>
          <w:szCs w:val="24"/>
          <w:u w:val="single"/>
        </w:rPr>
        <w:t>. 95.11(3)(</w:t>
      </w:r>
      <w:r w:rsidR="006C3ED0">
        <w:rPr>
          <w:rFonts w:ascii="Times New Roman" w:hAnsi="Times New Roman" w:cs="Times New Roman"/>
          <w:b/>
          <w:sz w:val="24"/>
          <w:szCs w:val="24"/>
          <w:u w:val="single"/>
        </w:rPr>
        <w:t>b</w:t>
      </w:r>
      <w:r w:rsidRPr="00DE7405">
        <w:rPr>
          <w:rFonts w:ascii="Times New Roman" w:hAnsi="Times New Roman" w:cs="Times New Roman"/>
          <w:b/>
          <w:sz w:val="24"/>
          <w:szCs w:val="24"/>
          <w:u w:val="single"/>
        </w:rPr>
        <w:t>), F.S.</w:t>
      </w:r>
      <w:r w:rsidR="002D74F5">
        <w:rPr>
          <w:rFonts w:ascii="Times New Roman" w:hAnsi="Times New Roman" w:cs="Times New Roman"/>
          <w:b/>
          <w:sz w:val="24"/>
          <w:szCs w:val="24"/>
          <w:u w:val="single"/>
        </w:rPr>
        <w:t xml:space="preserve"> (2023)</w:t>
      </w:r>
    </w:p>
    <w:p w:rsidR="00C527DA" w:rsidP="00C527DA" w:rsidRDefault="00C527DA" w14:paraId="38039B70" w14:textId="77777777">
      <w:pPr>
        <w:pStyle w:val="ListParagraph"/>
        <w:spacing w:after="0" w:line="240" w:lineRule="auto"/>
        <w:ind w:left="1440"/>
        <w:jc w:val="both"/>
        <w:rPr>
          <w:rFonts w:ascii="Times New Roman" w:hAnsi="Times New Roman" w:cs="Times New Roman"/>
          <w:sz w:val="24"/>
          <w:szCs w:val="24"/>
        </w:rPr>
      </w:pPr>
    </w:p>
    <w:p w:rsidR="004A1512" w:rsidP="004A1512" w:rsidRDefault="003D410B" w14:paraId="7D6EDAD2" w14:textId="64E81318">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Following amendment of s. 95.11(3)(</w:t>
      </w:r>
      <w:r w:rsidR="006C3ED0">
        <w:rPr>
          <w:rFonts w:ascii="Times New Roman" w:hAnsi="Times New Roman" w:cs="Times New Roman"/>
          <w:sz w:val="24"/>
          <w:szCs w:val="24"/>
        </w:rPr>
        <w:t>b</w:t>
      </w:r>
      <w:r>
        <w:rPr>
          <w:rFonts w:ascii="Times New Roman" w:hAnsi="Times New Roman" w:cs="Times New Roman"/>
          <w:sz w:val="24"/>
          <w:szCs w:val="24"/>
        </w:rPr>
        <w:t xml:space="preserve">), representatives of the CLC presented </w:t>
      </w:r>
      <w:r w:rsidR="002526B8">
        <w:rPr>
          <w:rFonts w:ascii="Times New Roman" w:hAnsi="Times New Roman" w:cs="Times New Roman"/>
          <w:sz w:val="24"/>
          <w:szCs w:val="24"/>
        </w:rPr>
        <w:t xml:space="preserve">on the bill changes and potential shortcomings, first at the RPPTL’s 2023 Legislative Update Meeting, and again at the CLC’s </w:t>
      </w:r>
      <w:r w:rsidR="00B41A30">
        <w:rPr>
          <w:rFonts w:ascii="Times New Roman" w:hAnsi="Times New Roman" w:cs="Times New Roman"/>
          <w:sz w:val="24"/>
          <w:szCs w:val="24"/>
        </w:rPr>
        <w:t xml:space="preserve">August 2023 </w:t>
      </w:r>
      <w:r w:rsidR="002526B8">
        <w:rPr>
          <w:rFonts w:ascii="Times New Roman" w:hAnsi="Times New Roman" w:cs="Times New Roman"/>
          <w:sz w:val="24"/>
          <w:szCs w:val="24"/>
        </w:rPr>
        <w:t>monthly</w:t>
      </w:r>
      <w:r w:rsidR="00B41A30">
        <w:rPr>
          <w:rFonts w:ascii="Times New Roman" w:hAnsi="Times New Roman" w:cs="Times New Roman"/>
          <w:sz w:val="24"/>
          <w:szCs w:val="24"/>
        </w:rPr>
        <w:t xml:space="preserve"> meeting and CLE presentation.</w:t>
      </w:r>
      <w:r w:rsidR="00B41A30">
        <w:rPr>
          <w:rStyle w:val="FootnoteReference"/>
          <w:rFonts w:ascii="Times New Roman" w:hAnsi="Times New Roman" w:cs="Times New Roman"/>
          <w:sz w:val="24"/>
          <w:szCs w:val="24"/>
        </w:rPr>
        <w:footnoteReference w:id="11"/>
      </w:r>
      <w:r w:rsidR="0044696F">
        <w:rPr>
          <w:rFonts w:ascii="Times New Roman" w:hAnsi="Times New Roman" w:cs="Times New Roman"/>
          <w:sz w:val="24"/>
          <w:szCs w:val="24"/>
        </w:rPr>
        <w:t xml:space="preserve">  </w:t>
      </w:r>
      <w:r w:rsidR="008B4012">
        <w:rPr>
          <w:rFonts w:ascii="Times New Roman" w:hAnsi="Times New Roman" w:cs="Times New Roman"/>
          <w:sz w:val="24"/>
          <w:szCs w:val="24"/>
        </w:rPr>
        <w:t>B</w:t>
      </w:r>
      <w:r w:rsidR="0044696F">
        <w:rPr>
          <w:rFonts w:ascii="Times New Roman" w:hAnsi="Times New Roman" w:cs="Times New Roman"/>
          <w:sz w:val="24"/>
          <w:szCs w:val="24"/>
        </w:rPr>
        <w:t xml:space="preserve">oth presentations focused on </w:t>
      </w:r>
      <w:r w:rsidR="008B4012">
        <w:rPr>
          <w:rFonts w:ascii="Times New Roman" w:hAnsi="Times New Roman" w:cs="Times New Roman"/>
          <w:sz w:val="24"/>
          <w:szCs w:val="24"/>
        </w:rPr>
        <w:t xml:space="preserve">ambiguities surrounding </w:t>
      </w:r>
      <w:r w:rsidR="00523D82">
        <w:rPr>
          <w:rFonts w:ascii="Times New Roman" w:hAnsi="Times New Roman" w:cs="Times New Roman"/>
          <w:sz w:val="24"/>
          <w:szCs w:val="24"/>
        </w:rPr>
        <w:t>projects that</w:t>
      </w:r>
      <w:r w:rsidR="008B4012">
        <w:rPr>
          <w:rFonts w:ascii="Times New Roman" w:hAnsi="Times New Roman" w:cs="Times New Roman"/>
          <w:sz w:val="24"/>
          <w:szCs w:val="24"/>
        </w:rPr>
        <w:t xml:space="preserve"> </w:t>
      </w:r>
      <w:proofErr w:type="gramStart"/>
      <w:r w:rsidR="008B4012">
        <w:rPr>
          <w:rFonts w:ascii="Times New Roman" w:hAnsi="Times New Roman" w:cs="Times New Roman"/>
          <w:sz w:val="24"/>
          <w:szCs w:val="24"/>
        </w:rPr>
        <w:t>were not covered</w:t>
      </w:r>
      <w:proofErr w:type="gramEnd"/>
      <w:r w:rsidR="008B4012">
        <w:rPr>
          <w:rFonts w:ascii="Times New Roman" w:hAnsi="Times New Roman" w:cs="Times New Roman"/>
          <w:sz w:val="24"/>
          <w:szCs w:val="24"/>
        </w:rPr>
        <w:t xml:space="preserve"> by the statutorily enumerated</w:t>
      </w:r>
      <w:r w:rsidR="0044696F">
        <w:rPr>
          <w:rFonts w:ascii="Times New Roman" w:hAnsi="Times New Roman" w:cs="Times New Roman"/>
          <w:sz w:val="24"/>
          <w:szCs w:val="24"/>
        </w:rPr>
        <w:t xml:space="preserve"> “clock starter”</w:t>
      </w:r>
      <w:r w:rsidR="008B4012">
        <w:rPr>
          <w:rFonts w:ascii="Times New Roman" w:hAnsi="Times New Roman" w:cs="Times New Roman"/>
          <w:sz w:val="24"/>
          <w:szCs w:val="24"/>
        </w:rPr>
        <w:t xml:space="preserve"> events</w:t>
      </w:r>
      <w:r w:rsidR="0044696F">
        <w:rPr>
          <w:rFonts w:ascii="Times New Roman" w:hAnsi="Times New Roman" w:cs="Times New Roman"/>
          <w:sz w:val="24"/>
          <w:szCs w:val="24"/>
        </w:rPr>
        <w:t xml:space="preserve"> </w:t>
      </w:r>
      <w:r w:rsidR="008B4012">
        <w:rPr>
          <w:rFonts w:ascii="Times New Roman" w:hAnsi="Times New Roman" w:cs="Times New Roman"/>
          <w:sz w:val="24"/>
          <w:szCs w:val="24"/>
        </w:rPr>
        <w:t xml:space="preserve">(also referred to as </w:t>
      </w:r>
      <w:r w:rsidR="0044696F">
        <w:rPr>
          <w:rFonts w:ascii="Times New Roman" w:hAnsi="Times New Roman" w:cs="Times New Roman"/>
          <w:sz w:val="24"/>
          <w:szCs w:val="24"/>
        </w:rPr>
        <w:t>“trigger gaps”</w:t>
      </w:r>
      <w:r w:rsidR="008B4012">
        <w:rPr>
          <w:rFonts w:ascii="Times New Roman" w:hAnsi="Times New Roman" w:cs="Times New Roman"/>
          <w:sz w:val="24"/>
          <w:szCs w:val="24"/>
        </w:rPr>
        <w:t xml:space="preserve">).  However, as discussed more fully in </w:t>
      </w:r>
      <w:r w:rsidRPr="00EF6466" w:rsidR="008B4012">
        <w:rPr>
          <w:rFonts w:ascii="Times New Roman" w:hAnsi="Times New Roman" w:cs="Times New Roman"/>
          <w:sz w:val="24"/>
          <w:szCs w:val="24"/>
        </w:rPr>
        <w:lastRenderedPageBreak/>
        <w:t xml:space="preserve">§VI(c), </w:t>
      </w:r>
      <w:r w:rsidRPr="00EF6466" w:rsidR="008B4012">
        <w:rPr>
          <w:rFonts w:ascii="Times New Roman" w:hAnsi="Times New Roman" w:cs="Times New Roman"/>
          <w:i/>
          <w:sz w:val="24"/>
          <w:szCs w:val="24"/>
        </w:rPr>
        <w:t>infra</w:t>
      </w:r>
      <w:r w:rsidRPr="00EF6466" w:rsidR="008B4012">
        <w:rPr>
          <w:rFonts w:ascii="Times New Roman" w:hAnsi="Times New Roman" w:cs="Times New Roman"/>
          <w:sz w:val="24"/>
          <w:szCs w:val="24"/>
        </w:rPr>
        <w:t xml:space="preserve">, </w:t>
      </w:r>
      <w:r w:rsidR="008B4012">
        <w:rPr>
          <w:rFonts w:ascii="Times New Roman" w:hAnsi="Times New Roman" w:cs="Times New Roman"/>
          <w:sz w:val="24"/>
          <w:szCs w:val="24"/>
        </w:rPr>
        <w:t>the Legislative Update presentation</w:t>
      </w:r>
      <w:r w:rsidR="0044696F">
        <w:rPr>
          <w:rFonts w:ascii="Times New Roman" w:hAnsi="Times New Roman" w:cs="Times New Roman"/>
          <w:sz w:val="24"/>
          <w:szCs w:val="24"/>
        </w:rPr>
        <w:t xml:space="preserve"> also identified </w:t>
      </w:r>
      <w:r w:rsidR="008B4012">
        <w:rPr>
          <w:rFonts w:ascii="Times New Roman" w:hAnsi="Times New Roman" w:cs="Times New Roman"/>
          <w:sz w:val="24"/>
          <w:szCs w:val="24"/>
        </w:rPr>
        <w:t>consti</w:t>
      </w:r>
      <w:r w:rsidR="002D74F5">
        <w:rPr>
          <w:rFonts w:ascii="Times New Roman" w:hAnsi="Times New Roman" w:cs="Times New Roman"/>
          <w:sz w:val="24"/>
          <w:szCs w:val="24"/>
        </w:rPr>
        <w:t xml:space="preserve">tutional problems with the bill.  Specifically, the bill </w:t>
      </w:r>
      <w:r w:rsidR="008B4012">
        <w:rPr>
          <w:rFonts w:ascii="Times New Roman" w:hAnsi="Times New Roman" w:cs="Times New Roman"/>
          <w:sz w:val="24"/>
          <w:szCs w:val="24"/>
        </w:rPr>
        <w:t xml:space="preserve">failed to include </w:t>
      </w:r>
      <w:proofErr w:type="spellStart"/>
      <w:r w:rsidR="008B4012">
        <w:rPr>
          <w:rFonts w:ascii="Times New Roman" w:hAnsi="Times New Roman" w:cs="Times New Roman"/>
          <w:sz w:val="24"/>
          <w:szCs w:val="24"/>
        </w:rPr>
        <w:t>preambular</w:t>
      </w:r>
      <w:proofErr w:type="spellEnd"/>
      <w:r w:rsidR="008B4012">
        <w:rPr>
          <w:rFonts w:ascii="Times New Roman" w:hAnsi="Times New Roman" w:cs="Times New Roman"/>
          <w:sz w:val="24"/>
          <w:szCs w:val="24"/>
        </w:rPr>
        <w:t xml:space="preserve"> findings of “public necessity</w:t>
      </w:r>
      <w:r w:rsidR="00EF6466">
        <w:rPr>
          <w:rFonts w:ascii="Times New Roman" w:hAnsi="Times New Roman" w:cs="Times New Roman"/>
          <w:sz w:val="24"/>
          <w:szCs w:val="24"/>
        </w:rPr>
        <w:t>,</w:t>
      </w:r>
      <w:r w:rsidR="008B4012">
        <w:rPr>
          <w:rFonts w:ascii="Times New Roman" w:hAnsi="Times New Roman" w:cs="Times New Roman"/>
          <w:sz w:val="24"/>
          <w:szCs w:val="24"/>
        </w:rPr>
        <w:t>”</w:t>
      </w:r>
      <w:r w:rsidR="00EF6466">
        <w:rPr>
          <w:rFonts w:ascii="Times New Roman" w:hAnsi="Times New Roman" w:cs="Times New Roman"/>
          <w:sz w:val="24"/>
          <w:szCs w:val="24"/>
        </w:rPr>
        <w:t xml:space="preserve"> as required for </w:t>
      </w:r>
      <w:r w:rsidR="002D74F5">
        <w:rPr>
          <w:rFonts w:ascii="Times New Roman" w:hAnsi="Times New Roman" w:cs="Times New Roman"/>
          <w:sz w:val="24"/>
          <w:szCs w:val="24"/>
        </w:rPr>
        <w:t>laws that infringe</w:t>
      </w:r>
      <w:r w:rsidR="00EF6466">
        <w:rPr>
          <w:rFonts w:ascii="Times New Roman" w:hAnsi="Times New Roman" w:cs="Times New Roman"/>
          <w:sz w:val="24"/>
          <w:szCs w:val="24"/>
        </w:rPr>
        <w:t xml:space="preserve"> </w:t>
      </w:r>
      <w:r w:rsidR="008B4012">
        <w:rPr>
          <w:rFonts w:ascii="Times New Roman" w:hAnsi="Times New Roman" w:cs="Times New Roman"/>
          <w:sz w:val="24"/>
          <w:szCs w:val="24"/>
        </w:rPr>
        <w:t>the</w:t>
      </w:r>
      <w:r w:rsidR="002D74F5">
        <w:rPr>
          <w:rFonts w:ascii="Times New Roman" w:hAnsi="Times New Roman" w:cs="Times New Roman"/>
          <w:sz w:val="24"/>
          <w:szCs w:val="24"/>
        </w:rPr>
        <w:t xml:space="preserve"> right of access to</w:t>
      </w:r>
      <w:r w:rsidR="008B4012">
        <w:rPr>
          <w:rFonts w:ascii="Times New Roman" w:hAnsi="Times New Roman" w:cs="Times New Roman"/>
          <w:sz w:val="24"/>
          <w:szCs w:val="24"/>
        </w:rPr>
        <w:t xml:space="preserve"> courts</w:t>
      </w:r>
      <w:r w:rsidR="002D74F5">
        <w:rPr>
          <w:rFonts w:ascii="Times New Roman" w:hAnsi="Times New Roman" w:cs="Times New Roman"/>
          <w:sz w:val="24"/>
          <w:szCs w:val="24"/>
        </w:rPr>
        <w:t xml:space="preserve">.  </w:t>
      </w:r>
      <w:r w:rsidR="002D74F5">
        <w:rPr>
          <w:rFonts w:ascii="Times New Roman" w:hAnsi="Times New Roman" w:cs="Times New Roman"/>
          <w:i/>
          <w:sz w:val="24"/>
          <w:szCs w:val="24"/>
        </w:rPr>
        <w:t>See</w:t>
      </w:r>
      <w:r w:rsidR="002D74F5">
        <w:rPr>
          <w:rFonts w:ascii="Times New Roman" w:hAnsi="Times New Roman" w:cs="Times New Roman"/>
          <w:sz w:val="24"/>
          <w:szCs w:val="24"/>
        </w:rPr>
        <w:t xml:space="preserve"> </w:t>
      </w:r>
      <w:r w:rsidRPr="0044696F" w:rsidR="0044696F">
        <w:rPr>
          <w:rFonts w:ascii="Times New Roman" w:hAnsi="Times New Roman" w:cs="Times New Roman"/>
          <w:sz w:val="24"/>
          <w:szCs w:val="24"/>
        </w:rPr>
        <w:t>Article 1, Section 21</w:t>
      </w:r>
      <w:r w:rsidR="002D74F5">
        <w:rPr>
          <w:rFonts w:ascii="Times New Roman" w:hAnsi="Times New Roman" w:cs="Times New Roman"/>
          <w:sz w:val="24"/>
          <w:szCs w:val="24"/>
        </w:rPr>
        <w:t xml:space="preserve">, </w:t>
      </w:r>
      <w:r w:rsidRPr="002D74F5" w:rsidR="0044696F">
        <w:rPr>
          <w:rFonts w:ascii="Times New Roman" w:hAnsi="Times New Roman" w:cs="Times New Roman"/>
          <w:i/>
          <w:sz w:val="24"/>
          <w:szCs w:val="24"/>
        </w:rPr>
        <w:t>Florida Constitution</w:t>
      </w:r>
      <w:r w:rsidR="002D74F5">
        <w:rPr>
          <w:rFonts w:ascii="Times New Roman" w:hAnsi="Times New Roman" w:cs="Times New Roman"/>
          <w:sz w:val="24"/>
          <w:szCs w:val="24"/>
        </w:rPr>
        <w:t xml:space="preserve"> (2023)</w:t>
      </w:r>
      <w:r w:rsidR="0044696F">
        <w:rPr>
          <w:rFonts w:ascii="Times New Roman" w:hAnsi="Times New Roman" w:cs="Times New Roman"/>
          <w:sz w:val="24"/>
          <w:szCs w:val="24"/>
        </w:rPr>
        <w:t>.</w:t>
      </w:r>
    </w:p>
    <w:p w:rsidR="008B4012" w:rsidP="004A1512" w:rsidRDefault="008B4012" w14:paraId="20CDA0E7" w14:textId="77777777">
      <w:pPr>
        <w:pStyle w:val="ListParagraph"/>
        <w:spacing w:after="0" w:line="240" w:lineRule="auto"/>
        <w:ind w:left="0" w:firstLine="720"/>
        <w:jc w:val="both"/>
        <w:rPr>
          <w:rFonts w:ascii="Times New Roman" w:hAnsi="Times New Roman" w:cs="Times New Roman"/>
          <w:sz w:val="24"/>
          <w:szCs w:val="24"/>
        </w:rPr>
      </w:pPr>
    </w:p>
    <w:p w:rsidR="00F9529B" w:rsidP="002E2614" w:rsidRDefault="008B4012" w14:paraId="0BA28614" w14:textId="77777777">
      <w:pPr>
        <w:spacing w:after="0" w:line="240" w:lineRule="auto"/>
        <w:ind w:firstLine="720"/>
        <w:jc w:val="both"/>
        <w:rPr>
          <w:rFonts w:ascii="Times New Roman" w:hAnsi="Times New Roman" w:cs="Times New Roman"/>
          <w:sz w:val="24"/>
          <w:szCs w:val="24"/>
        </w:rPr>
      </w:pPr>
      <w:r w:rsidRPr="008664EC">
        <w:rPr>
          <w:rFonts w:ascii="Times New Roman" w:hAnsi="Times New Roman" w:cs="Times New Roman"/>
          <w:sz w:val="24"/>
          <w:szCs w:val="24"/>
        </w:rPr>
        <w:t xml:space="preserve">Turning to the “clock starter” event issue, </w:t>
      </w:r>
      <w:r w:rsidRPr="008664EC" w:rsidR="00523D82">
        <w:rPr>
          <w:rFonts w:ascii="Times New Roman" w:hAnsi="Times New Roman" w:cs="Times New Roman"/>
          <w:sz w:val="24"/>
          <w:szCs w:val="24"/>
        </w:rPr>
        <w:t>s. 95.11(3)(</w:t>
      </w:r>
      <w:r w:rsidR="006C3ED0">
        <w:rPr>
          <w:rFonts w:ascii="Times New Roman" w:hAnsi="Times New Roman" w:cs="Times New Roman"/>
          <w:sz w:val="24"/>
          <w:szCs w:val="24"/>
        </w:rPr>
        <w:t>b</w:t>
      </w:r>
      <w:r w:rsidRPr="008664EC" w:rsidR="00523D82">
        <w:rPr>
          <w:rFonts w:ascii="Times New Roman" w:hAnsi="Times New Roman" w:cs="Times New Roman"/>
          <w:sz w:val="24"/>
          <w:szCs w:val="24"/>
        </w:rPr>
        <w:t>), Fla. Stat. (2023) is ambiguous because the events which are specified to trigger either the statute of li</w:t>
      </w:r>
      <w:r w:rsidR="00EF6466">
        <w:rPr>
          <w:rFonts w:ascii="Times New Roman" w:hAnsi="Times New Roman" w:cs="Times New Roman"/>
          <w:sz w:val="24"/>
          <w:szCs w:val="24"/>
        </w:rPr>
        <w:t>mitations or statute of repose d</w:t>
      </w:r>
      <w:r w:rsidRPr="008664EC" w:rsidR="00523D82">
        <w:rPr>
          <w:rFonts w:ascii="Times New Roman" w:hAnsi="Times New Roman" w:cs="Times New Roman"/>
          <w:sz w:val="24"/>
          <w:szCs w:val="24"/>
        </w:rPr>
        <w:t>o not cover all of the scenarios in which the design, planning, or construction of an impr</w:t>
      </w:r>
      <w:r w:rsidR="00EF6466">
        <w:rPr>
          <w:rFonts w:ascii="Times New Roman" w:hAnsi="Times New Roman" w:cs="Times New Roman"/>
          <w:sz w:val="24"/>
          <w:szCs w:val="24"/>
        </w:rPr>
        <w:t>ovement to real property occurs</w:t>
      </w:r>
      <w:r w:rsidRPr="008664EC" w:rsidR="00523D82">
        <w:rPr>
          <w:rFonts w:ascii="Times New Roman" w:hAnsi="Times New Roman" w:cs="Times New Roman"/>
          <w:sz w:val="24"/>
          <w:szCs w:val="24"/>
        </w:rPr>
        <w:t xml:space="preserve">.  </w:t>
      </w:r>
    </w:p>
    <w:p w:rsidR="00F9529B" w:rsidP="002E2614" w:rsidRDefault="00F9529B" w14:paraId="74FE5DAB" w14:textId="77777777">
      <w:pPr>
        <w:spacing w:after="0" w:line="240" w:lineRule="auto"/>
        <w:ind w:firstLine="720"/>
        <w:jc w:val="both"/>
        <w:rPr>
          <w:rFonts w:ascii="Times New Roman" w:hAnsi="Times New Roman" w:cs="Times New Roman"/>
          <w:sz w:val="24"/>
          <w:szCs w:val="24"/>
        </w:rPr>
      </w:pPr>
    </w:p>
    <w:p w:rsidRPr="00F9402B" w:rsidR="00F9402B" w:rsidP="00F9402B" w:rsidRDefault="002D74F5" w14:paraId="5D5C4FFF" w14:textId="346AF71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8664EC" w:rsidR="00523D82">
        <w:rPr>
          <w:rFonts w:ascii="Times New Roman" w:hAnsi="Times New Roman" w:cs="Times New Roman"/>
          <w:sz w:val="24"/>
          <w:szCs w:val="24"/>
        </w:rPr>
        <w:t>. 95.11(3</w:t>
      </w:r>
      <w:proofErr w:type="gramStart"/>
      <w:r w:rsidRPr="008664EC" w:rsidR="00523D82">
        <w:rPr>
          <w:rFonts w:ascii="Times New Roman" w:hAnsi="Times New Roman" w:cs="Times New Roman"/>
          <w:sz w:val="24"/>
          <w:szCs w:val="24"/>
        </w:rPr>
        <w:t>)(</w:t>
      </w:r>
      <w:proofErr w:type="gramEnd"/>
      <w:r w:rsidR="006C3ED0">
        <w:rPr>
          <w:rFonts w:ascii="Times New Roman" w:hAnsi="Times New Roman" w:cs="Times New Roman"/>
          <w:sz w:val="24"/>
          <w:szCs w:val="24"/>
        </w:rPr>
        <w:t>b</w:t>
      </w:r>
      <w:r w:rsidR="003749AD">
        <w:rPr>
          <w:rFonts w:ascii="Times New Roman" w:hAnsi="Times New Roman" w:cs="Times New Roman"/>
          <w:sz w:val="24"/>
          <w:szCs w:val="24"/>
        </w:rPr>
        <w:t>)</w:t>
      </w:r>
      <w:r w:rsidRPr="008664EC" w:rsidR="00523D82">
        <w:rPr>
          <w:rFonts w:ascii="Times New Roman" w:hAnsi="Times New Roman" w:cs="Times New Roman"/>
          <w:sz w:val="24"/>
          <w:szCs w:val="24"/>
        </w:rPr>
        <w:t xml:space="preserve"> applies to</w:t>
      </w:r>
      <w:r w:rsidR="000E1C2B">
        <w:rPr>
          <w:rFonts w:ascii="Times New Roman" w:hAnsi="Times New Roman" w:cs="Times New Roman"/>
          <w:sz w:val="24"/>
          <w:szCs w:val="24"/>
        </w:rPr>
        <w:t xml:space="preserve"> any action</w:t>
      </w:r>
      <w:r w:rsidRPr="008664EC" w:rsidR="00523D82">
        <w:rPr>
          <w:rFonts w:ascii="Times New Roman" w:hAnsi="Times New Roman" w:cs="Times New Roman"/>
          <w:sz w:val="24"/>
          <w:szCs w:val="24"/>
        </w:rPr>
        <w:t xml:space="preserve"> “founded on the design, planning, or construction of an </w:t>
      </w:r>
      <w:r w:rsidRPr="002E2614" w:rsidR="00523D82">
        <w:rPr>
          <w:rFonts w:ascii="Times New Roman" w:hAnsi="Times New Roman" w:cs="Times New Roman"/>
          <w:i/>
          <w:sz w:val="24"/>
          <w:szCs w:val="24"/>
        </w:rPr>
        <w:t>improvement to real property</w:t>
      </w:r>
      <w:r w:rsidRPr="008664EC" w:rsidR="00523D82">
        <w:rPr>
          <w:rFonts w:ascii="Times New Roman" w:hAnsi="Times New Roman" w:cs="Times New Roman"/>
          <w:sz w:val="24"/>
          <w:szCs w:val="24"/>
        </w:rPr>
        <w:t>.”</w:t>
      </w:r>
      <w:r w:rsidR="00523D82">
        <w:rPr>
          <w:rStyle w:val="FootnoteReference"/>
          <w:rFonts w:ascii="Times New Roman" w:hAnsi="Times New Roman" w:cs="Times New Roman"/>
          <w:sz w:val="24"/>
          <w:szCs w:val="24"/>
        </w:rPr>
        <w:footnoteReference w:id="12"/>
      </w:r>
      <w:r w:rsidR="002E2614">
        <w:rPr>
          <w:rFonts w:ascii="Times New Roman" w:hAnsi="Times New Roman" w:cs="Times New Roman"/>
          <w:sz w:val="24"/>
          <w:szCs w:val="24"/>
        </w:rPr>
        <w:t xml:space="preserve"> (</w:t>
      </w:r>
      <w:proofErr w:type="gramStart"/>
      <w:r w:rsidR="002E2614">
        <w:rPr>
          <w:rFonts w:ascii="Times New Roman" w:hAnsi="Times New Roman" w:cs="Times New Roman"/>
          <w:i/>
          <w:sz w:val="24"/>
          <w:szCs w:val="24"/>
        </w:rPr>
        <w:t>emphasis</w:t>
      </w:r>
      <w:proofErr w:type="gramEnd"/>
      <w:r w:rsidR="002E2614">
        <w:rPr>
          <w:rFonts w:ascii="Times New Roman" w:hAnsi="Times New Roman" w:cs="Times New Roman"/>
          <w:i/>
          <w:sz w:val="24"/>
          <w:szCs w:val="24"/>
        </w:rPr>
        <w:t xml:space="preserve"> added</w:t>
      </w:r>
      <w:r w:rsidR="002E2614">
        <w:rPr>
          <w:rFonts w:ascii="Times New Roman" w:hAnsi="Times New Roman" w:cs="Times New Roman"/>
          <w:sz w:val="24"/>
          <w:szCs w:val="24"/>
        </w:rPr>
        <w:t>).</w:t>
      </w:r>
      <w:r w:rsidR="000E1C2B">
        <w:rPr>
          <w:rFonts w:ascii="Times New Roman" w:hAnsi="Times New Roman" w:cs="Times New Roman"/>
          <w:sz w:val="24"/>
          <w:szCs w:val="24"/>
        </w:rPr>
        <w:t xml:space="preserve">  Because this emphasized phrase is undefined in the statute, Florida courts have assigned to it a plain, ordinary meaning.</w:t>
      </w:r>
      <w:r w:rsidR="00F044DF">
        <w:rPr>
          <w:rStyle w:val="FootnoteReference"/>
          <w:rFonts w:ascii="Times New Roman" w:hAnsi="Times New Roman" w:cs="Times New Roman"/>
          <w:sz w:val="24"/>
          <w:szCs w:val="24"/>
        </w:rPr>
        <w:footnoteReference w:id="13"/>
      </w:r>
      <w:r w:rsidR="00F044DF">
        <w:rPr>
          <w:rFonts w:ascii="Times New Roman" w:hAnsi="Times New Roman" w:cs="Times New Roman"/>
          <w:sz w:val="24"/>
          <w:szCs w:val="24"/>
        </w:rPr>
        <w:t xml:space="preserve">  </w:t>
      </w:r>
      <w:r w:rsidR="00F9529B">
        <w:rPr>
          <w:rFonts w:ascii="Times New Roman" w:hAnsi="Times New Roman" w:cs="Times New Roman"/>
          <w:sz w:val="24"/>
          <w:szCs w:val="24"/>
        </w:rPr>
        <w:t xml:space="preserve">  Indeed, Florida courts have drawn a line in choosing </w:t>
      </w:r>
      <w:r w:rsidRPr="00F9402B" w:rsidR="00F9529B">
        <w:rPr>
          <w:rFonts w:ascii="Times New Roman" w:hAnsi="Times New Roman" w:cs="Times New Roman"/>
          <w:i/>
          <w:sz w:val="24"/>
          <w:szCs w:val="24"/>
        </w:rPr>
        <w:t>not</w:t>
      </w:r>
      <w:r w:rsidR="00F9529B">
        <w:rPr>
          <w:rFonts w:ascii="Times New Roman" w:hAnsi="Times New Roman" w:cs="Times New Roman"/>
          <w:sz w:val="24"/>
          <w:szCs w:val="24"/>
        </w:rPr>
        <w:t xml:space="preserve"> to apply the</w:t>
      </w:r>
      <w:r w:rsidR="00F9402B">
        <w:rPr>
          <w:rFonts w:ascii="Times New Roman" w:hAnsi="Times New Roman" w:cs="Times New Roman"/>
          <w:sz w:val="24"/>
          <w:szCs w:val="24"/>
        </w:rPr>
        <w:t xml:space="preserve"> construction defect statute of limitation and repose to disputes </w:t>
      </w:r>
      <w:r w:rsidR="006036A0">
        <w:rPr>
          <w:rFonts w:ascii="Times New Roman" w:hAnsi="Times New Roman" w:cs="Times New Roman"/>
          <w:sz w:val="24"/>
          <w:szCs w:val="24"/>
        </w:rPr>
        <w:t>founded on “repairs,” as contrasted with</w:t>
      </w:r>
      <w:r w:rsidR="00F9402B">
        <w:rPr>
          <w:rFonts w:ascii="Times New Roman" w:hAnsi="Times New Roman" w:cs="Times New Roman"/>
          <w:sz w:val="24"/>
          <w:szCs w:val="24"/>
        </w:rPr>
        <w:t xml:space="preserve"> “i</w:t>
      </w:r>
      <w:r w:rsidR="00F044DF">
        <w:rPr>
          <w:rFonts w:ascii="Times New Roman" w:hAnsi="Times New Roman" w:cs="Times New Roman"/>
          <w:sz w:val="24"/>
          <w:szCs w:val="24"/>
        </w:rPr>
        <w:t>mprovements” to real property.</w:t>
      </w:r>
      <w:r w:rsidR="00F044DF">
        <w:rPr>
          <w:rStyle w:val="FootnoteReference"/>
          <w:rFonts w:ascii="Times New Roman" w:hAnsi="Times New Roman" w:cs="Times New Roman"/>
          <w:sz w:val="24"/>
          <w:szCs w:val="24"/>
        </w:rPr>
        <w:footnoteReference w:id="14"/>
      </w:r>
    </w:p>
    <w:p w:rsidR="000E1C2B" w:rsidP="002E2614" w:rsidRDefault="000E1C2B" w14:paraId="3975D29D" w14:textId="77777777">
      <w:pPr>
        <w:spacing w:after="0" w:line="240" w:lineRule="auto"/>
        <w:ind w:firstLine="720"/>
        <w:jc w:val="both"/>
        <w:rPr>
          <w:rFonts w:ascii="Times New Roman" w:hAnsi="Times New Roman" w:cs="Times New Roman"/>
          <w:sz w:val="24"/>
          <w:szCs w:val="24"/>
        </w:rPr>
      </w:pPr>
    </w:p>
    <w:p w:rsidRPr="005D0674" w:rsidR="000E1C2B" w:rsidP="005D0674" w:rsidRDefault="00362530" w14:paraId="781D96DD" w14:textId="777777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F9402B">
        <w:rPr>
          <w:rFonts w:ascii="Times New Roman" w:hAnsi="Times New Roman" w:cs="Times New Roman"/>
          <w:sz w:val="24"/>
          <w:szCs w:val="24"/>
        </w:rPr>
        <w:t>t does not appear that Florida courts have considered the plain, ordinary meaning of the phrase “real property</w:t>
      </w:r>
      <w:r w:rsidR="006036A0">
        <w:rPr>
          <w:rFonts w:ascii="Times New Roman" w:hAnsi="Times New Roman" w:cs="Times New Roman"/>
          <w:sz w:val="24"/>
          <w:szCs w:val="24"/>
        </w:rPr>
        <w:t>,</w:t>
      </w:r>
      <w:r w:rsidR="00F9402B">
        <w:rPr>
          <w:rFonts w:ascii="Times New Roman" w:hAnsi="Times New Roman" w:cs="Times New Roman"/>
          <w:sz w:val="24"/>
          <w:szCs w:val="24"/>
        </w:rPr>
        <w:t>”</w:t>
      </w:r>
      <w:r w:rsidR="006036A0">
        <w:rPr>
          <w:rFonts w:ascii="Times New Roman" w:hAnsi="Times New Roman" w:cs="Times New Roman"/>
          <w:sz w:val="24"/>
          <w:szCs w:val="24"/>
        </w:rPr>
        <w:t xml:space="preserve"> standing alone,</w:t>
      </w:r>
      <w:r w:rsidR="00F9402B">
        <w:rPr>
          <w:rFonts w:ascii="Times New Roman" w:hAnsi="Times New Roman" w:cs="Times New Roman"/>
          <w:sz w:val="24"/>
          <w:szCs w:val="24"/>
        </w:rPr>
        <w:t xml:space="preserve"> in defining the phrase “improvement to real property</w:t>
      </w:r>
      <w:r w:rsidR="006036A0">
        <w:rPr>
          <w:rFonts w:ascii="Times New Roman" w:hAnsi="Times New Roman" w:cs="Times New Roman"/>
          <w:sz w:val="24"/>
          <w:szCs w:val="24"/>
        </w:rPr>
        <w:t>.</w:t>
      </w:r>
      <w:r w:rsidR="00F9402B">
        <w:rPr>
          <w:rFonts w:ascii="Times New Roman" w:hAnsi="Times New Roman" w:cs="Times New Roman"/>
          <w:sz w:val="24"/>
          <w:szCs w:val="24"/>
        </w:rPr>
        <w:t>”</w:t>
      </w:r>
      <w:r>
        <w:rPr>
          <w:rFonts w:ascii="Times New Roman" w:hAnsi="Times New Roman" w:cs="Times New Roman"/>
          <w:sz w:val="24"/>
          <w:szCs w:val="24"/>
        </w:rPr>
        <w:t xml:space="preserve">  However, </w:t>
      </w:r>
      <w:r w:rsidR="000E1C2B">
        <w:rPr>
          <w:rFonts w:ascii="Times New Roman" w:hAnsi="Times New Roman" w:cs="Times New Roman"/>
          <w:sz w:val="24"/>
          <w:szCs w:val="24"/>
        </w:rPr>
        <w:t>“</w:t>
      </w:r>
      <w:r>
        <w:rPr>
          <w:rFonts w:ascii="Times New Roman" w:hAnsi="Times New Roman" w:cs="Times New Roman"/>
          <w:sz w:val="24"/>
          <w:szCs w:val="24"/>
        </w:rPr>
        <w:t>[u]</w:t>
      </w:r>
      <w:proofErr w:type="spellStart"/>
      <w:r w:rsidRPr="008664EC" w:rsidR="000E1C2B">
        <w:rPr>
          <w:rFonts w:ascii="Times New Roman" w:hAnsi="Times New Roman" w:cs="Times New Roman"/>
          <w:sz w:val="24"/>
          <w:szCs w:val="24"/>
        </w:rPr>
        <w:t>nder</w:t>
      </w:r>
      <w:proofErr w:type="spellEnd"/>
      <w:r w:rsidRPr="008664EC" w:rsidR="000E1C2B">
        <w:rPr>
          <w:rFonts w:ascii="Times New Roman" w:hAnsi="Times New Roman" w:cs="Times New Roman"/>
          <w:sz w:val="24"/>
          <w:szCs w:val="24"/>
        </w:rPr>
        <w:t xml:space="preserve"> the common law, and except as modified by statute, real property consists of those things that are permanent, fixed, and immovable, such as lands, tenements, and hereditaments of all kinds that are not annexed to the person or cannot be moved from the place in which they exist.</w:t>
      </w:r>
      <w:r w:rsidR="000E1C2B">
        <w:rPr>
          <w:rFonts w:ascii="Times New Roman" w:hAnsi="Times New Roman" w:cs="Times New Roman"/>
          <w:sz w:val="24"/>
          <w:szCs w:val="24"/>
        </w:rPr>
        <w:t>”</w:t>
      </w:r>
      <w:r w:rsidR="00F044DF">
        <w:rPr>
          <w:rStyle w:val="FootnoteReference"/>
          <w:rFonts w:ascii="Times New Roman" w:hAnsi="Times New Roman" w:cs="Times New Roman"/>
          <w:sz w:val="24"/>
          <w:szCs w:val="24"/>
        </w:rPr>
        <w:footnoteReference w:id="15"/>
      </w:r>
      <w:r w:rsidR="006036A0">
        <w:rPr>
          <w:rFonts w:ascii="Times New Roman" w:hAnsi="Times New Roman" w:cs="Times New Roman"/>
          <w:sz w:val="24"/>
          <w:szCs w:val="24"/>
        </w:rPr>
        <w:t xml:space="preserve">  </w:t>
      </w:r>
      <w:proofErr w:type="gramStart"/>
      <w:r w:rsidR="006036A0">
        <w:rPr>
          <w:rFonts w:ascii="Times New Roman" w:hAnsi="Times New Roman" w:cs="Times New Roman"/>
          <w:sz w:val="24"/>
          <w:szCs w:val="24"/>
        </w:rPr>
        <w:t>Section 95.11(3)(</w:t>
      </w:r>
      <w:r w:rsidR="006C3ED0">
        <w:rPr>
          <w:rFonts w:ascii="Times New Roman" w:hAnsi="Times New Roman" w:cs="Times New Roman"/>
          <w:sz w:val="24"/>
          <w:szCs w:val="24"/>
        </w:rPr>
        <w:t>b</w:t>
      </w:r>
      <w:r w:rsidR="006036A0">
        <w:rPr>
          <w:rFonts w:ascii="Times New Roman" w:hAnsi="Times New Roman" w:cs="Times New Roman"/>
          <w:sz w:val="24"/>
          <w:szCs w:val="24"/>
        </w:rPr>
        <w:t>)</w:t>
      </w:r>
      <w:r w:rsidR="005D0674">
        <w:rPr>
          <w:rFonts w:ascii="Times New Roman" w:hAnsi="Times New Roman" w:cs="Times New Roman"/>
          <w:sz w:val="24"/>
          <w:szCs w:val="24"/>
        </w:rPr>
        <w:t xml:space="preserve"> arguably</w:t>
      </w:r>
      <w:r w:rsidR="006036A0">
        <w:rPr>
          <w:rFonts w:ascii="Times New Roman" w:hAnsi="Times New Roman" w:cs="Times New Roman"/>
          <w:sz w:val="24"/>
          <w:szCs w:val="24"/>
        </w:rPr>
        <w:t xml:space="preserve"> does modify the statutory definition of “improvement to real property,” insofar as </w:t>
      </w:r>
      <w:r w:rsidR="005D0674">
        <w:rPr>
          <w:rFonts w:ascii="Times New Roman" w:hAnsi="Times New Roman" w:cs="Times New Roman"/>
          <w:sz w:val="24"/>
          <w:szCs w:val="24"/>
        </w:rPr>
        <w:t>that statute, now provides: “</w:t>
      </w:r>
      <w:r w:rsidRPr="005D0674" w:rsidR="005D0674">
        <w:rPr>
          <w:rFonts w:ascii="Times New Roman" w:hAnsi="Times New Roman" w:cs="Times New Roman"/>
          <w:sz w:val="24"/>
          <w:szCs w:val="24"/>
        </w:rPr>
        <w:t>Notwithstanding any provision o</w:t>
      </w:r>
      <w:r w:rsidR="005D0674">
        <w:rPr>
          <w:rFonts w:ascii="Times New Roman" w:hAnsi="Times New Roman" w:cs="Times New Roman"/>
          <w:sz w:val="24"/>
          <w:szCs w:val="24"/>
        </w:rPr>
        <w:t xml:space="preserve">f this section to the contrary, </w:t>
      </w:r>
      <w:r w:rsidRPr="005D0674" w:rsidR="005D0674">
        <w:rPr>
          <w:rFonts w:ascii="Times New Roman" w:hAnsi="Times New Roman" w:cs="Times New Roman"/>
          <w:sz w:val="24"/>
          <w:szCs w:val="24"/>
        </w:rPr>
        <w:t xml:space="preserve">if the </w:t>
      </w:r>
      <w:r w:rsidRPr="005D0674" w:rsidR="005D0674">
        <w:rPr>
          <w:rFonts w:ascii="Times New Roman" w:hAnsi="Times New Roman" w:cs="Times New Roman"/>
          <w:i/>
          <w:sz w:val="24"/>
          <w:szCs w:val="24"/>
        </w:rPr>
        <w:t>improvement to real property</w:t>
      </w:r>
      <w:r w:rsidRPr="005D0674" w:rsidR="005D0674">
        <w:rPr>
          <w:rFonts w:ascii="Times New Roman" w:hAnsi="Times New Roman" w:cs="Times New Roman"/>
          <w:sz w:val="24"/>
          <w:szCs w:val="24"/>
        </w:rPr>
        <w:t xml:space="preserve"> consists of the design, </w:t>
      </w:r>
      <w:r w:rsidRPr="005D0674" w:rsidR="005D0674">
        <w:rPr>
          <w:rFonts w:ascii="Times New Roman" w:hAnsi="Times New Roman" w:cs="Times New Roman"/>
          <w:sz w:val="24"/>
          <w:szCs w:val="24"/>
        </w:rPr>
        <w:lastRenderedPageBreak/>
        <w:t xml:space="preserve">planning, or construction of multiple buildings, </w:t>
      </w:r>
      <w:r w:rsidRPr="005D0674" w:rsidR="005D0674">
        <w:rPr>
          <w:rFonts w:ascii="Times New Roman" w:hAnsi="Times New Roman" w:cs="Times New Roman"/>
          <w:i/>
          <w:sz w:val="24"/>
          <w:szCs w:val="24"/>
        </w:rPr>
        <w:t>each building  must be considered its own improvement</w:t>
      </w:r>
      <w:r w:rsidRPr="005D0674" w:rsidR="005D0674">
        <w:rPr>
          <w:rFonts w:ascii="Times New Roman" w:hAnsi="Times New Roman" w:cs="Times New Roman"/>
          <w:sz w:val="24"/>
          <w:szCs w:val="24"/>
        </w:rPr>
        <w:t xml:space="preserve"> for purposes of</w:t>
      </w:r>
      <w:r w:rsidR="005D0674">
        <w:rPr>
          <w:rFonts w:ascii="Times New Roman" w:hAnsi="Times New Roman" w:cs="Times New Roman"/>
          <w:sz w:val="24"/>
          <w:szCs w:val="24"/>
        </w:rPr>
        <w:t xml:space="preserve"> </w:t>
      </w:r>
      <w:r w:rsidRPr="005D0674" w:rsidR="005D0674">
        <w:rPr>
          <w:rFonts w:ascii="Times New Roman" w:hAnsi="Times New Roman" w:cs="Times New Roman"/>
          <w:sz w:val="24"/>
          <w:szCs w:val="24"/>
        </w:rPr>
        <w:t>determining the limitations period set forth in this paragraph</w:t>
      </w:r>
      <w:r w:rsidR="005D0674">
        <w:rPr>
          <w:rFonts w:ascii="Times New Roman" w:hAnsi="Times New Roman" w:cs="Times New Roman"/>
          <w:sz w:val="24"/>
          <w:szCs w:val="24"/>
        </w:rPr>
        <w:t>.”</w:t>
      </w:r>
      <w:proofErr w:type="gramEnd"/>
      <w:r w:rsidR="005D0674">
        <w:rPr>
          <w:rFonts w:ascii="Times New Roman" w:hAnsi="Times New Roman" w:cs="Times New Roman"/>
          <w:sz w:val="24"/>
          <w:szCs w:val="24"/>
        </w:rPr>
        <w:t xml:space="preserve">  (</w:t>
      </w:r>
      <w:proofErr w:type="gramStart"/>
      <w:r w:rsidR="005D0674">
        <w:rPr>
          <w:rFonts w:ascii="Times New Roman" w:hAnsi="Times New Roman" w:cs="Times New Roman"/>
          <w:i/>
          <w:sz w:val="24"/>
          <w:szCs w:val="24"/>
        </w:rPr>
        <w:t>emphasis</w:t>
      </w:r>
      <w:proofErr w:type="gramEnd"/>
      <w:r w:rsidR="005D0674">
        <w:rPr>
          <w:rFonts w:ascii="Times New Roman" w:hAnsi="Times New Roman" w:cs="Times New Roman"/>
          <w:i/>
          <w:sz w:val="24"/>
          <w:szCs w:val="24"/>
        </w:rPr>
        <w:t xml:space="preserve"> added</w:t>
      </w:r>
      <w:r w:rsidR="005D0674">
        <w:rPr>
          <w:rFonts w:ascii="Times New Roman" w:hAnsi="Times New Roman" w:cs="Times New Roman"/>
          <w:sz w:val="24"/>
          <w:szCs w:val="24"/>
        </w:rPr>
        <w:t>).  This white paper and accompanying proposed legislation do not seek to alter this definition, and the revisions to s. 95.11(3</w:t>
      </w:r>
      <w:proofErr w:type="gramStart"/>
      <w:r w:rsidR="005D0674">
        <w:rPr>
          <w:rFonts w:ascii="Times New Roman" w:hAnsi="Times New Roman" w:cs="Times New Roman"/>
          <w:sz w:val="24"/>
          <w:szCs w:val="24"/>
        </w:rPr>
        <w:t>)(</w:t>
      </w:r>
      <w:proofErr w:type="gramEnd"/>
      <w:r w:rsidR="006C3ED0">
        <w:rPr>
          <w:rFonts w:ascii="Times New Roman" w:hAnsi="Times New Roman" w:cs="Times New Roman"/>
          <w:sz w:val="24"/>
          <w:szCs w:val="24"/>
        </w:rPr>
        <w:t>b</w:t>
      </w:r>
      <w:r w:rsidR="005D0674">
        <w:rPr>
          <w:rFonts w:ascii="Times New Roman" w:hAnsi="Times New Roman" w:cs="Times New Roman"/>
          <w:sz w:val="24"/>
          <w:szCs w:val="24"/>
        </w:rPr>
        <w:t>) proposed in §</w:t>
      </w:r>
      <w:r w:rsidR="00061D22">
        <w:rPr>
          <w:rFonts w:ascii="Times New Roman" w:hAnsi="Times New Roman" w:cs="Times New Roman"/>
          <w:sz w:val="24"/>
          <w:szCs w:val="24"/>
        </w:rPr>
        <w:t xml:space="preserve"> </w:t>
      </w:r>
      <w:r w:rsidR="005D0674">
        <w:rPr>
          <w:rFonts w:ascii="Times New Roman" w:hAnsi="Times New Roman" w:cs="Times New Roman"/>
          <w:sz w:val="24"/>
          <w:szCs w:val="24"/>
        </w:rPr>
        <w:t>II</w:t>
      </w:r>
      <w:r w:rsidRPr="00EF6466" w:rsidR="005D0674">
        <w:rPr>
          <w:rFonts w:ascii="Times New Roman" w:hAnsi="Times New Roman" w:cs="Times New Roman"/>
          <w:sz w:val="24"/>
          <w:szCs w:val="24"/>
        </w:rPr>
        <w:t xml:space="preserve">I, </w:t>
      </w:r>
      <w:r w:rsidR="00502584">
        <w:rPr>
          <w:rFonts w:ascii="Times New Roman" w:hAnsi="Times New Roman" w:cs="Times New Roman"/>
          <w:i/>
          <w:sz w:val="24"/>
          <w:szCs w:val="24"/>
        </w:rPr>
        <w:t>supra</w:t>
      </w:r>
      <w:r w:rsidR="005D0674">
        <w:rPr>
          <w:rFonts w:ascii="Times New Roman" w:hAnsi="Times New Roman" w:cs="Times New Roman"/>
          <w:sz w:val="24"/>
          <w:szCs w:val="24"/>
        </w:rPr>
        <w:t>, are harmonious with this modified definition.</w:t>
      </w:r>
    </w:p>
    <w:p w:rsidR="00362530" w:rsidP="002E2614" w:rsidRDefault="00362530" w14:paraId="2231A794" w14:textId="77777777">
      <w:pPr>
        <w:spacing w:after="0" w:line="240" w:lineRule="auto"/>
        <w:ind w:firstLine="720"/>
        <w:jc w:val="both"/>
        <w:rPr>
          <w:rFonts w:ascii="Times New Roman" w:hAnsi="Times New Roman" w:cs="Times New Roman"/>
          <w:sz w:val="24"/>
          <w:szCs w:val="24"/>
        </w:rPr>
      </w:pPr>
    </w:p>
    <w:p w:rsidR="00362530" w:rsidP="002E2614" w:rsidRDefault="005D0674" w14:paraId="65F6A604" w14:textId="4A540C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foregoing</w:t>
      </w:r>
      <w:r w:rsidR="00362530">
        <w:rPr>
          <w:rFonts w:ascii="Times New Roman" w:hAnsi="Times New Roman" w:cs="Times New Roman"/>
          <w:sz w:val="24"/>
          <w:szCs w:val="24"/>
        </w:rPr>
        <w:t xml:space="preserve"> </w:t>
      </w:r>
      <w:r w:rsidR="003348DE">
        <w:rPr>
          <w:rFonts w:ascii="Times New Roman" w:hAnsi="Times New Roman" w:cs="Times New Roman"/>
          <w:sz w:val="24"/>
          <w:szCs w:val="24"/>
        </w:rPr>
        <w:t>common law context is important</w:t>
      </w:r>
      <w:r w:rsidR="00362530">
        <w:rPr>
          <w:rFonts w:ascii="Times New Roman" w:hAnsi="Times New Roman" w:cs="Times New Roman"/>
          <w:sz w:val="24"/>
          <w:szCs w:val="24"/>
        </w:rPr>
        <w:t xml:space="preserve"> because</w:t>
      </w:r>
      <w:r w:rsidR="006C3ED0">
        <w:rPr>
          <w:rFonts w:ascii="Times New Roman" w:hAnsi="Times New Roman" w:cs="Times New Roman"/>
          <w:sz w:val="24"/>
          <w:szCs w:val="24"/>
        </w:rPr>
        <w:t xml:space="preserve"> the amendments to s. 95.11(3</w:t>
      </w:r>
      <w:proofErr w:type="gramStart"/>
      <w:r w:rsidR="006C3ED0">
        <w:rPr>
          <w:rFonts w:ascii="Times New Roman" w:hAnsi="Times New Roman" w:cs="Times New Roman"/>
          <w:sz w:val="24"/>
          <w:szCs w:val="24"/>
        </w:rPr>
        <w:t>)(</w:t>
      </w:r>
      <w:proofErr w:type="gramEnd"/>
      <w:r w:rsidR="006C3ED0">
        <w:rPr>
          <w:rFonts w:ascii="Times New Roman" w:hAnsi="Times New Roman" w:cs="Times New Roman"/>
          <w:sz w:val="24"/>
          <w:szCs w:val="24"/>
        </w:rPr>
        <w:t>b</w:t>
      </w:r>
      <w:r w:rsidR="00362530">
        <w:rPr>
          <w:rFonts w:ascii="Times New Roman" w:hAnsi="Times New Roman" w:cs="Times New Roman"/>
          <w:sz w:val="24"/>
          <w:szCs w:val="24"/>
        </w:rPr>
        <w:t xml:space="preserve">) attempt to establish </w:t>
      </w:r>
      <w:r w:rsidR="00960048">
        <w:rPr>
          <w:rFonts w:ascii="Times New Roman" w:hAnsi="Times New Roman" w:cs="Times New Roman"/>
          <w:sz w:val="24"/>
          <w:szCs w:val="24"/>
        </w:rPr>
        <w:t>discrete</w:t>
      </w:r>
      <w:r w:rsidR="00362530">
        <w:rPr>
          <w:rFonts w:ascii="Times New Roman" w:hAnsi="Times New Roman" w:cs="Times New Roman"/>
          <w:sz w:val="24"/>
          <w:szCs w:val="24"/>
        </w:rPr>
        <w:t xml:space="preserve"> events which would trigger the running of the statute of limitations and statute of repose based almost entirely on statutory definitions.  As set forth </w:t>
      </w:r>
      <w:r>
        <w:rPr>
          <w:rFonts w:ascii="Times New Roman" w:hAnsi="Times New Roman" w:cs="Times New Roman"/>
          <w:sz w:val="24"/>
          <w:szCs w:val="24"/>
        </w:rPr>
        <w:t>i</w:t>
      </w:r>
      <w:r w:rsidR="00362530">
        <w:rPr>
          <w:rFonts w:ascii="Times New Roman" w:hAnsi="Times New Roman" w:cs="Times New Roman"/>
          <w:sz w:val="24"/>
          <w:szCs w:val="24"/>
        </w:rPr>
        <w:t xml:space="preserve">n the chart below, the </w:t>
      </w:r>
      <w:proofErr w:type="gramStart"/>
      <w:r w:rsidR="00362530">
        <w:rPr>
          <w:rFonts w:ascii="Times New Roman" w:hAnsi="Times New Roman" w:cs="Times New Roman"/>
          <w:sz w:val="24"/>
          <w:szCs w:val="24"/>
        </w:rPr>
        <w:t xml:space="preserve">phrases “temporary certificate of occupancy, certificate of occupancy, and certificate of completion” are defined </w:t>
      </w:r>
      <w:r w:rsidR="002D74F5">
        <w:rPr>
          <w:rFonts w:ascii="Times New Roman" w:hAnsi="Times New Roman" w:cs="Times New Roman"/>
          <w:sz w:val="24"/>
          <w:szCs w:val="24"/>
        </w:rPr>
        <w:t>by</w:t>
      </w:r>
      <w:r w:rsidR="00362530">
        <w:rPr>
          <w:rFonts w:ascii="Times New Roman" w:hAnsi="Times New Roman" w:cs="Times New Roman"/>
          <w:sz w:val="24"/>
          <w:szCs w:val="24"/>
        </w:rPr>
        <w:t xml:space="preserve"> the Florida Building Code</w:t>
      </w:r>
      <w:proofErr w:type="gramEnd"/>
      <w:r w:rsidR="00362530">
        <w:rPr>
          <w:rFonts w:ascii="Times New Roman" w:hAnsi="Times New Roman" w:cs="Times New Roman"/>
          <w:sz w:val="24"/>
          <w:szCs w:val="24"/>
        </w:rPr>
        <w:t>.</w:t>
      </w:r>
      <w:r w:rsidR="00362530">
        <w:rPr>
          <w:rStyle w:val="FootnoteReference"/>
          <w:rFonts w:ascii="Times New Roman" w:hAnsi="Times New Roman" w:cs="Times New Roman"/>
          <w:sz w:val="24"/>
          <w:szCs w:val="24"/>
        </w:rPr>
        <w:footnoteReference w:id="16"/>
      </w:r>
    </w:p>
    <w:p w:rsidR="00362530" w:rsidP="00362530" w:rsidRDefault="00362530" w14:paraId="424BCBB5" w14:textId="77777777">
      <w:pPr>
        <w:spacing w:after="0" w:line="240" w:lineRule="auto"/>
        <w:jc w:val="both"/>
        <w:rPr>
          <w:rFonts w:ascii="Times New Roman" w:hAnsi="Times New Roman" w:cs="Times New Roman"/>
          <w:sz w:val="24"/>
          <w:szCs w:val="24"/>
        </w:rPr>
      </w:pPr>
    </w:p>
    <w:p w:rsidR="00362530" w:rsidP="00362530" w:rsidRDefault="00362530" w14:paraId="70D2B9F0" w14:textId="7777777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5C3440" wp14:editId="6F4D6D4A">
            <wp:extent cx="5930900" cy="2533650"/>
            <wp:effectExtent l="0" t="0" r="0" b="0"/>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0900" cy="2533650"/>
                    </a:xfrm>
                    <a:prstGeom prst="rect">
                      <a:avLst/>
                    </a:prstGeom>
                    <a:noFill/>
                    <a:ln>
                      <a:noFill/>
                    </a:ln>
                  </pic:spPr>
                </pic:pic>
              </a:graphicData>
            </a:graphic>
          </wp:inline>
        </w:drawing>
      </w:r>
    </w:p>
    <w:p w:rsidRPr="002E2614" w:rsidR="00362530" w:rsidP="00362530" w:rsidRDefault="00362530" w14:paraId="5F342E90" w14:textId="77777777">
      <w:pPr>
        <w:spacing w:after="0" w:line="240" w:lineRule="auto"/>
        <w:jc w:val="both"/>
        <w:rPr>
          <w:rFonts w:ascii="Times New Roman" w:hAnsi="Times New Roman" w:cs="Times New Roman"/>
          <w:sz w:val="24"/>
          <w:szCs w:val="24"/>
        </w:rPr>
      </w:pPr>
    </w:p>
    <w:p w:rsidR="00145748" w:rsidP="00C70A24" w:rsidRDefault="00145748" w14:paraId="6FEB263F" w14:textId="70CD89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C70A24">
        <w:rPr>
          <w:rFonts w:ascii="Times New Roman" w:hAnsi="Times New Roman" w:cs="Times New Roman"/>
          <w:sz w:val="24"/>
          <w:szCs w:val="24"/>
        </w:rPr>
        <w:t>se of these events as “triggers” for the statute of limitation and repose periods provides the benefit of certainty and precision (i.e., there are no factual disputes over when an owner took possession of the property, or when the contract was “completed,” as was previously the case)</w:t>
      </w:r>
      <w:r>
        <w:rPr>
          <w:rFonts w:ascii="Times New Roman" w:hAnsi="Times New Roman" w:cs="Times New Roman"/>
          <w:sz w:val="24"/>
          <w:szCs w:val="24"/>
        </w:rPr>
        <w:t xml:space="preserve">.  However, exclusive use of these “triggers” is problematic for at least </w:t>
      </w:r>
      <w:r w:rsidR="00597743">
        <w:rPr>
          <w:rFonts w:ascii="Times New Roman" w:hAnsi="Times New Roman" w:cs="Times New Roman"/>
          <w:sz w:val="24"/>
          <w:szCs w:val="24"/>
        </w:rPr>
        <w:t>five</w:t>
      </w:r>
      <w:r>
        <w:rPr>
          <w:rFonts w:ascii="Times New Roman" w:hAnsi="Times New Roman" w:cs="Times New Roman"/>
          <w:sz w:val="24"/>
          <w:szCs w:val="24"/>
        </w:rPr>
        <w:t xml:space="preserve"> reasons.  </w:t>
      </w:r>
    </w:p>
    <w:p w:rsidR="00145748" w:rsidP="00C70A24" w:rsidRDefault="00145748" w14:paraId="2B273A38" w14:textId="77777777">
      <w:pPr>
        <w:spacing w:after="0" w:line="240" w:lineRule="auto"/>
        <w:jc w:val="both"/>
        <w:rPr>
          <w:rFonts w:ascii="Times New Roman" w:hAnsi="Times New Roman" w:cs="Times New Roman"/>
          <w:sz w:val="24"/>
          <w:szCs w:val="24"/>
        </w:rPr>
      </w:pPr>
    </w:p>
    <w:p w:rsidR="0044696F" w:rsidP="00145748" w:rsidRDefault="00145748" w14:paraId="1AF14F96" w14:textId="466C37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First, these “triggers” do not include the entire universe of</w:t>
      </w:r>
      <w:r w:rsidR="0077100E">
        <w:rPr>
          <w:rFonts w:ascii="Times New Roman" w:hAnsi="Times New Roman" w:cs="Times New Roman"/>
          <w:sz w:val="24"/>
          <w:szCs w:val="24"/>
        </w:rPr>
        <w:t xml:space="preserve"> types of</w:t>
      </w:r>
      <w:r>
        <w:rPr>
          <w:rFonts w:ascii="Times New Roman" w:hAnsi="Times New Roman" w:cs="Times New Roman"/>
          <w:sz w:val="24"/>
          <w:szCs w:val="24"/>
        </w:rPr>
        <w:t xml:space="preserve"> “improvement to real property,” as defined by Florida law.  For instance, </w:t>
      </w:r>
      <w:r w:rsidR="00D821CC">
        <w:rPr>
          <w:rFonts w:ascii="Times New Roman" w:hAnsi="Times New Roman" w:cs="Times New Roman"/>
          <w:sz w:val="24"/>
          <w:szCs w:val="24"/>
        </w:rPr>
        <w:t>Title XXVI, Florida Statutes, governs horizontal improvements (e.g., roads, bridges, non-vertical infrastructure)</w:t>
      </w:r>
      <w:r>
        <w:rPr>
          <w:rFonts w:ascii="Times New Roman" w:hAnsi="Times New Roman" w:cs="Times New Roman"/>
          <w:sz w:val="24"/>
          <w:szCs w:val="24"/>
        </w:rPr>
        <w:t>.  Such improvements use a different but substantially equivalent phrase of “final acceptance</w:t>
      </w:r>
      <w:r w:rsidR="00DE7405">
        <w:rPr>
          <w:rFonts w:ascii="Times New Roman" w:hAnsi="Times New Roman" w:cs="Times New Roman"/>
          <w:sz w:val="24"/>
          <w:szCs w:val="24"/>
        </w:rPr>
        <w:t>,</w:t>
      </w:r>
      <w:r>
        <w:rPr>
          <w:rFonts w:ascii="Times New Roman" w:hAnsi="Times New Roman" w:cs="Times New Roman"/>
          <w:sz w:val="24"/>
          <w:szCs w:val="24"/>
        </w:rPr>
        <w:t xml:space="preserve">” when the governmental entity (i.e., Florida Department of Transportation or other political subdivisions of the state) approves the improvement to real property.  </w:t>
      </w:r>
      <w:r>
        <w:rPr>
          <w:rFonts w:ascii="Times New Roman" w:hAnsi="Times New Roman" w:cs="Times New Roman"/>
          <w:i/>
          <w:sz w:val="24"/>
          <w:szCs w:val="24"/>
        </w:rPr>
        <w:t>See</w:t>
      </w:r>
      <w:r>
        <w:rPr>
          <w:rFonts w:ascii="Times New Roman" w:hAnsi="Times New Roman" w:cs="Times New Roman"/>
          <w:sz w:val="24"/>
          <w:szCs w:val="24"/>
        </w:rPr>
        <w:t xml:space="preserve"> </w:t>
      </w:r>
      <w:r w:rsidRPr="000A003F">
        <w:rPr>
          <w:rFonts w:ascii="Times New Roman" w:hAnsi="Times New Roman" w:cs="Times New Roman"/>
          <w:sz w:val="24"/>
          <w:szCs w:val="24"/>
        </w:rPr>
        <w:t>Section 337.85</w:t>
      </w:r>
      <w:r w:rsidRPr="000A003F" w:rsidR="005D0674">
        <w:rPr>
          <w:rFonts w:ascii="Times New Roman" w:hAnsi="Times New Roman" w:cs="Times New Roman"/>
          <w:sz w:val="24"/>
          <w:szCs w:val="24"/>
        </w:rPr>
        <w:t>(1)(c)</w:t>
      </w:r>
      <w:r w:rsidRPr="000A003F">
        <w:rPr>
          <w:rFonts w:ascii="Times New Roman" w:hAnsi="Times New Roman" w:cs="Times New Roman"/>
          <w:sz w:val="24"/>
          <w:szCs w:val="24"/>
        </w:rPr>
        <w:t>, Florida Statutes</w:t>
      </w:r>
      <w:r w:rsidR="005D0674">
        <w:rPr>
          <w:rFonts w:ascii="Times New Roman" w:hAnsi="Times New Roman" w:cs="Times New Roman"/>
          <w:sz w:val="24"/>
          <w:szCs w:val="24"/>
        </w:rPr>
        <w:t xml:space="preserve"> (2023) (“‘</w:t>
      </w:r>
      <w:r w:rsidRPr="005D0674" w:rsidR="005D0674">
        <w:rPr>
          <w:rFonts w:ascii="Times New Roman" w:hAnsi="Times New Roman" w:cs="Times New Roman"/>
          <w:sz w:val="24"/>
          <w:szCs w:val="24"/>
        </w:rPr>
        <w:t>Final acceptance</w:t>
      </w:r>
      <w:r w:rsidR="005D0674">
        <w:rPr>
          <w:rFonts w:ascii="Times New Roman" w:hAnsi="Times New Roman" w:cs="Times New Roman"/>
          <w:sz w:val="24"/>
          <w:szCs w:val="24"/>
        </w:rPr>
        <w:t>’</w:t>
      </w:r>
      <w:r w:rsidRPr="005D0674" w:rsidR="005D0674">
        <w:rPr>
          <w:rFonts w:ascii="Times New Roman" w:hAnsi="Times New Roman" w:cs="Times New Roman"/>
          <w:sz w:val="24"/>
          <w:szCs w:val="24"/>
        </w:rPr>
        <w:t xml:space="preserve"> means that the contractor has completely performed the work provided for under the contract, the department or its agent has determined that the contractor has satisfactorily </w:t>
      </w:r>
      <w:r w:rsidRPr="005D0674" w:rsidR="005D0674">
        <w:rPr>
          <w:rFonts w:ascii="Times New Roman" w:hAnsi="Times New Roman" w:cs="Times New Roman"/>
          <w:sz w:val="24"/>
          <w:szCs w:val="24"/>
        </w:rPr>
        <w:lastRenderedPageBreak/>
        <w:t>completed the work provided for under the contract, and the department or its agent has submitted written notice of final acceptance to the contractor.</w:t>
      </w:r>
      <w:r w:rsidR="005D0674">
        <w:rPr>
          <w:rFonts w:ascii="Times New Roman" w:hAnsi="Times New Roman" w:cs="Times New Roman"/>
          <w:sz w:val="24"/>
          <w:szCs w:val="24"/>
        </w:rPr>
        <w:t>”).</w:t>
      </w:r>
    </w:p>
    <w:p w:rsidR="00145748" w:rsidP="00145748" w:rsidRDefault="00145748" w14:paraId="3686EDC8" w14:textId="77777777">
      <w:pPr>
        <w:spacing w:after="0" w:line="240" w:lineRule="auto"/>
        <w:ind w:firstLine="720"/>
        <w:jc w:val="both"/>
        <w:rPr>
          <w:rFonts w:ascii="Times New Roman" w:hAnsi="Times New Roman" w:cs="Times New Roman"/>
          <w:sz w:val="24"/>
          <w:szCs w:val="24"/>
        </w:rPr>
      </w:pPr>
    </w:p>
    <w:p w:rsidR="0044696F" w:rsidP="00D12DAF" w:rsidRDefault="00145748" w14:paraId="715CE5A6" w14:textId="74A64342">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Second, the issuance of a Temporary Certificate of Occupancy (“TCO”) and Certificate of Occupancy (“CO”), as compared to the issuance of a Certificate of Completion (“CC”), are mutually exclusive, in that TCOs and COs are only issued (and required to be issued)</w:t>
      </w:r>
      <w:r w:rsidR="00D12DAF">
        <w:rPr>
          <w:rFonts w:ascii="Times New Roman" w:hAnsi="Times New Roman" w:cs="Times New Roman"/>
          <w:sz w:val="24"/>
          <w:szCs w:val="24"/>
        </w:rPr>
        <w:t xml:space="preserve"> for improvements where there is a change in use or occupancy (e.g., new home, condominium building, or commercial building), whereas </w:t>
      </w:r>
      <w:r w:rsidR="003749AD">
        <w:rPr>
          <w:rFonts w:ascii="Times New Roman" w:hAnsi="Times New Roman" w:cs="Times New Roman"/>
          <w:sz w:val="24"/>
          <w:szCs w:val="24"/>
        </w:rPr>
        <w:t>a</w:t>
      </w:r>
      <w:r w:rsidR="00D12DAF">
        <w:rPr>
          <w:rFonts w:ascii="Times New Roman" w:hAnsi="Times New Roman" w:cs="Times New Roman"/>
          <w:sz w:val="24"/>
          <w:szCs w:val="24"/>
        </w:rPr>
        <w:t xml:space="preserve"> CC may (but is not required to be) issued for “systems” (e.g., roof systems, HVAC systems, electrical systems).</w:t>
      </w:r>
      <w:proofErr w:type="gramEnd"/>
      <w:r w:rsidR="00D12DAF">
        <w:rPr>
          <w:rFonts w:ascii="Times New Roman" w:hAnsi="Times New Roman" w:cs="Times New Roman"/>
          <w:sz w:val="24"/>
          <w:szCs w:val="24"/>
        </w:rPr>
        <w:t xml:space="preserve">  Stated another way, a CC would cover those types of improvements where the owner continues to occupy the premises</w:t>
      </w:r>
      <w:r w:rsidR="005D0674">
        <w:rPr>
          <w:rFonts w:ascii="Times New Roman" w:hAnsi="Times New Roman" w:cs="Times New Roman"/>
          <w:sz w:val="24"/>
          <w:szCs w:val="24"/>
        </w:rPr>
        <w:t xml:space="preserve"> while the improvement is being made</w:t>
      </w:r>
      <w:r w:rsidR="00D12DAF">
        <w:rPr>
          <w:rFonts w:ascii="Times New Roman" w:hAnsi="Times New Roman" w:cs="Times New Roman"/>
          <w:sz w:val="24"/>
          <w:szCs w:val="24"/>
        </w:rPr>
        <w:t xml:space="preserve">, whereas the TCO or CO would cover </w:t>
      </w:r>
      <w:r w:rsidR="005D0674">
        <w:rPr>
          <w:rFonts w:ascii="Times New Roman" w:hAnsi="Times New Roman" w:cs="Times New Roman"/>
          <w:sz w:val="24"/>
          <w:szCs w:val="24"/>
        </w:rPr>
        <w:t>improvements for which an owner cannot take occupancy until issuance</w:t>
      </w:r>
      <w:r w:rsidR="00D12DAF">
        <w:rPr>
          <w:rFonts w:ascii="Times New Roman" w:hAnsi="Times New Roman" w:cs="Times New Roman"/>
          <w:sz w:val="24"/>
          <w:szCs w:val="24"/>
        </w:rPr>
        <w:t>.</w:t>
      </w:r>
      <w:r w:rsidR="00C470CA">
        <w:rPr>
          <w:rFonts w:ascii="Times New Roman" w:hAnsi="Times New Roman" w:cs="Times New Roman"/>
          <w:sz w:val="24"/>
          <w:szCs w:val="24"/>
        </w:rPr>
        <w:t xml:space="preserve">  </w:t>
      </w:r>
      <w:r w:rsidR="000750C2">
        <w:rPr>
          <w:rFonts w:ascii="Times New Roman" w:hAnsi="Times New Roman" w:cs="Times New Roman"/>
          <w:sz w:val="24"/>
          <w:szCs w:val="24"/>
        </w:rPr>
        <w:t>Further, unlike a TCO or CO, the building official is not required to issue a CC upon final approval of all required inspections.</w:t>
      </w:r>
      <w:r w:rsidR="000750C2">
        <w:rPr>
          <w:rStyle w:val="FootnoteReference"/>
          <w:rFonts w:ascii="Times New Roman" w:hAnsi="Times New Roman" w:cs="Times New Roman"/>
          <w:sz w:val="24"/>
          <w:szCs w:val="24"/>
        </w:rPr>
        <w:footnoteReference w:id="17"/>
      </w:r>
    </w:p>
    <w:p w:rsidR="0077100E" w:rsidP="00D12DAF" w:rsidRDefault="0077100E" w14:paraId="13E302E6" w14:textId="77777777">
      <w:pPr>
        <w:spacing w:after="0" w:line="240" w:lineRule="auto"/>
        <w:ind w:firstLine="720"/>
        <w:jc w:val="both"/>
        <w:rPr>
          <w:rFonts w:ascii="Times New Roman" w:hAnsi="Times New Roman" w:cs="Times New Roman"/>
          <w:sz w:val="24"/>
          <w:szCs w:val="24"/>
        </w:rPr>
      </w:pPr>
    </w:p>
    <w:p w:rsidR="00D12DAF" w:rsidP="005D67FE" w:rsidRDefault="00D12DAF" w14:paraId="06F2F31F" w14:textId="5630202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Third, while s. 95.11(3</w:t>
      </w:r>
      <w:proofErr w:type="gramStart"/>
      <w:r>
        <w:rPr>
          <w:rFonts w:ascii="Times New Roman" w:hAnsi="Times New Roman" w:cs="Times New Roman"/>
          <w:sz w:val="24"/>
          <w:szCs w:val="24"/>
        </w:rPr>
        <w:t>)(</w:t>
      </w:r>
      <w:proofErr w:type="gramEnd"/>
      <w:r w:rsidR="006C3ED0">
        <w:rPr>
          <w:rFonts w:ascii="Times New Roman" w:hAnsi="Times New Roman" w:cs="Times New Roman"/>
          <w:sz w:val="24"/>
          <w:szCs w:val="24"/>
        </w:rPr>
        <w:t>b</w:t>
      </w:r>
      <w:r>
        <w:rPr>
          <w:rFonts w:ascii="Times New Roman" w:hAnsi="Times New Roman" w:cs="Times New Roman"/>
          <w:sz w:val="24"/>
          <w:szCs w:val="24"/>
        </w:rPr>
        <w:t>)</w:t>
      </w:r>
      <w:r w:rsidR="00DE7405">
        <w:rPr>
          <w:rFonts w:ascii="Times New Roman" w:hAnsi="Times New Roman" w:cs="Times New Roman"/>
          <w:sz w:val="24"/>
          <w:szCs w:val="24"/>
        </w:rPr>
        <w:t xml:space="preserve"> still allows fo</w:t>
      </w:r>
      <w:r w:rsidR="00DD4D26">
        <w:rPr>
          <w:rFonts w:ascii="Times New Roman" w:hAnsi="Times New Roman" w:cs="Times New Roman"/>
          <w:sz w:val="24"/>
          <w:szCs w:val="24"/>
        </w:rPr>
        <w:t xml:space="preserve">r the statute of limitations or </w:t>
      </w:r>
      <w:r w:rsidR="00DE7405">
        <w:rPr>
          <w:rFonts w:ascii="Times New Roman" w:hAnsi="Times New Roman" w:cs="Times New Roman"/>
          <w:sz w:val="24"/>
          <w:szCs w:val="24"/>
        </w:rPr>
        <w:t>repose period to be triggered if the improvement is abandoned by the designer, planner, or contractor, it has eliminated “Completion or termination</w:t>
      </w:r>
      <w:r w:rsidRPr="00DE7405" w:rsidR="00DE7405">
        <w:rPr>
          <w:rFonts w:ascii="Times New Roman" w:hAnsi="Times New Roman" w:cs="Times New Roman"/>
          <w:sz w:val="24"/>
          <w:szCs w:val="24"/>
        </w:rPr>
        <w:t xml:space="preserve"> </w:t>
      </w:r>
      <w:r w:rsidRPr="005601E5" w:rsidR="00DE7405">
        <w:rPr>
          <w:rFonts w:ascii="Times New Roman" w:hAnsi="Times New Roman" w:cs="Times New Roman"/>
          <w:sz w:val="24"/>
          <w:szCs w:val="24"/>
        </w:rPr>
        <w:t>of the engineer’s, architect’s, or contractor’s contract with his or her</w:t>
      </w:r>
      <w:r w:rsidR="00DE7405">
        <w:rPr>
          <w:rFonts w:ascii="Times New Roman" w:hAnsi="Times New Roman" w:cs="Times New Roman"/>
          <w:sz w:val="24"/>
          <w:szCs w:val="24"/>
        </w:rPr>
        <w:t xml:space="preserve"> </w:t>
      </w:r>
      <w:r w:rsidRPr="005601E5" w:rsidR="00DE7405">
        <w:rPr>
          <w:rFonts w:ascii="Times New Roman" w:hAnsi="Times New Roman" w:cs="Times New Roman"/>
          <w:sz w:val="24"/>
          <w:szCs w:val="24"/>
        </w:rPr>
        <w:t>employer</w:t>
      </w:r>
      <w:r w:rsidR="00DE7405">
        <w:rPr>
          <w:rFonts w:ascii="Times New Roman" w:hAnsi="Times New Roman" w:cs="Times New Roman"/>
          <w:sz w:val="24"/>
          <w:szCs w:val="24"/>
        </w:rPr>
        <w:t xml:space="preserve">” as a triggering event.  </w:t>
      </w:r>
      <w:r w:rsidR="00597743">
        <w:rPr>
          <w:rFonts w:ascii="Times New Roman" w:hAnsi="Times New Roman" w:cs="Times New Roman"/>
          <w:sz w:val="24"/>
          <w:szCs w:val="24"/>
        </w:rPr>
        <w:t>D</w:t>
      </w:r>
      <w:r w:rsidRPr="00752AB8" w:rsidR="00DE7405">
        <w:rPr>
          <w:rFonts w:ascii="Times New Roman" w:hAnsi="Times New Roman" w:cs="Times New Roman"/>
          <w:sz w:val="24"/>
          <w:szCs w:val="24"/>
        </w:rPr>
        <w:t>eletion of the phrase “[…] termination of the […] contract” is problematic, because “abandon</w:t>
      </w:r>
      <w:r w:rsidRPr="00752AB8" w:rsidR="00172333">
        <w:rPr>
          <w:rFonts w:ascii="Times New Roman" w:hAnsi="Times New Roman" w:cs="Times New Roman"/>
          <w:sz w:val="24"/>
          <w:szCs w:val="24"/>
        </w:rPr>
        <w:t xml:space="preserve">ment of construction” and </w:t>
      </w:r>
      <w:r w:rsidR="00752AB8">
        <w:rPr>
          <w:rFonts w:ascii="Times New Roman" w:hAnsi="Times New Roman" w:cs="Times New Roman"/>
          <w:sz w:val="24"/>
          <w:szCs w:val="24"/>
        </w:rPr>
        <w:t>“</w:t>
      </w:r>
      <w:r w:rsidRPr="00752AB8" w:rsidR="00172333">
        <w:rPr>
          <w:rFonts w:ascii="Times New Roman" w:hAnsi="Times New Roman" w:cs="Times New Roman"/>
          <w:sz w:val="24"/>
          <w:szCs w:val="24"/>
        </w:rPr>
        <w:t xml:space="preserve">termination of </w:t>
      </w:r>
      <w:r w:rsidR="00752AB8">
        <w:rPr>
          <w:rFonts w:ascii="Times New Roman" w:hAnsi="Times New Roman" w:cs="Times New Roman"/>
          <w:sz w:val="24"/>
          <w:szCs w:val="24"/>
        </w:rPr>
        <w:t>the</w:t>
      </w:r>
      <w:r w:rsidRPr="00752AB8" w:rsidR="00172333">
        <w:rPr>
          <w:rFonts w:ascii="Times New Roman" w:hAnsi="Times New Roman" w:cs="Times New Roman"/>
          <w:sz w:val="24"/>
          <w:szCs w:val="24"/>
        </w:rPr>
        <w:t xml:space="preserve"> contract</w:t>
      </w:r>
      <w:r w:rsidR="00752AB8">
        <w:rPr>
          <w:rFonts w:ascii="Times New Roman" w:hAnsi="Times New Roman" w:cs="Times New Roman"/>
          <w:sz w:val="24"/>
          <w:szCs w:val="24"/>
        </w:rPr>
        <w:t>”</w:t>
      </w:r>
      <w:r w:rsidRPr="00752AB8" w:rsidR="00172333">
        <w:rPr>
          <w:rFonts w:ascii="Times New Roman" w:hAnsi="Times New Roman" w:cs="Times New Roman"/>
          <w:sz w:val="24"/>
          <w:szCs w:val="24"/>
        </w:rPr>
        <w:t xml:space="preserve"> are not necessarily mutually inclusive</w:t>
      </w:r>
      <w:r w:rsidR="003749AD">
        <w:rPr>
          <w:rFonts w:ascii="Times New Roman" w:hAnsi="Times New Roman" w:cs="Times New Roman"/>
          <w:sz w:val="24"/>
          <w:szCs w:val="24"/>
        </w:rPr>
        <w:t>,</w:t>
      </w:r>
      <w:r w:rsidR="00752AB8">
        <w:rPr>
          <w:rFonts w:ascii="Times New Roman" w:hAnsi="Times New Roman" w:cs="Times New Roman"/>
          <w:sz w:val="24"/>
          <w:szCs w:val="24"/>
        </w:rPr>
        <w:t xml:space="preserve"> analogous</w:t>
      </w:r>
      <w:r w:rsidR="003749AD">
        <w:rPr>
          <w:rFonts w:ascii="Times New Roman" w:hAnsi="Times New Roman" w:cs="Times New Roman"/>
          <w:sz w:val="24"/>
          <w:szCs w:val="24"/>
        </w:rPr>
        <w:t>,</w:t>
      </w:r>
      <w:r w:rsidR="00752AB8">
        <w:rPr>
          <w:rFonts w:ascii="Times New Roman" w:hAnsi="Times New Roman" w:cs="Times New Roman"/>
          <w:sz w:val="24"/>
          <w:szCs w:val="24"/>
        </w:rPr>
        <w:t xml:space="preserve"> or equivalent</w:t>
      </w:r>
      <w:r w:rsidRPr="00752AB8" w:rsidR="00172333">
        <w:rPr>
          <w:rFonts w:ascii="Times New Roman" w:hAnsi="Times New Roman" w:cs="Times New Roman"/>
          <w:sz w:val="24"/>
          <w:szCs w:val="24"/>
        </w:rPr>
        <w:t>.</w:t>
      </w:r>
      <w:r w:rsidR="0025146E">
        <w:rPr>
          <w:rFonts w:ascii="Times New Roman" w:hAnsi="Times New Roman" w:cs="Times New Roman"/>
          <w:sz w:val="24"/>
          <w:szCs w:val="24"/>
        </w:rPr>
        <w:t xml:space="preserve">  </w:t>
      </w:r>
      <w:r w:rsidR="00597743">
        <w:rPr>
          <w:rFonts w:ascii="Times New Roman" w:hAnsi="Times New Roman" w:cs="Times New Roman"/>
          <w:sz w:val="24"/>
          <w:szCs w:val="24"/>
        </w:rPr>
        <w:t>“A</w:t>
      </w:r>
      <w:r w:rsidR="0025146E">
        <w:rPr>
          <w:rFonts w:ascii="Times New Roman" w:hAnsi="Times New Roman" w:cs="Times New Roman"/>
          <w:sz w:val="24"/>
          <w:szCs w:val="24"/>
        </w:rPr>
        <w:t>bandonment</w:t>
      </w:r>
      <w:r w:rsidR="00597743">
        <w:rPr>
          <w:rFonts w:ascii="Times New Roman" w:hAnsi="Times New Roman" w:cs="Times New Roman"/>
          <w:sz w:val="24"/>
          <w:szCs w:val="24"/>
        </w:rPr>
        <w:t>”</w:t>
      </w:r>
      <w:r w:rsidR="0025146E">
        <w:rPr>
          <w:rFonts w:ascii="Times New Roman" w:hAnsi="Times New Roman" w:cs="Times New Roman"/>
          <w:sz w:val="24"/>
          <w:szCs w:val="24"/>
        </w:rPr>
        <w:t xml:space="preserve"> focuses on whether a construction party has executed the work with reasonable promptness, whereas </w:t>
      </w:r>
      <w:r w:rsidR="00597743">
        <w:rPr>
          <w:rFonts w:ascii="Times New Roman" w:hAnsi="Times New Roman" w:cs="Times New Roman"/>
          <w:sz w:val="24"/>
          <w:szCs w:val="24"/>
        </w:rPr>
        <w:t>“</w:t>
      </w:r>
      <w:r w:rsidR="0025146E">
        <w:rPr>
          <w:rFonts w:ascii="Times New Roman" w:hAnsi="Times New Roman" w:cs="Times New Roman"/>
          <w:sz w:val="24"/>
          <w:szCs w:val="24"/>
        </w:rPr>
        <w:t>termination</w:t>
      </w:r>
      <w:r w:rsidR="00597743">
        <w:rPr>
          <w:rFonts w:ascii="Times New Roman" w:hAnsi="Times New Roman" w:cs="Times New Roman"/>
          <w:sz w:val="24"/>
          <w:szCs w:val="24"/>
        </w:rPr>
        <w:t>”</w:t>
      </w:r>
      <w:r w:rsidR="0025146E">
        <w:rPr>
          <w:rFonts w:ascii="Times New Roman" w:hAnsi="Times New Roman" w:cs="Times New Roman"/>
          <w:sz w:val="24"/>
          <w:szCs w:val="24"/>
        </w:rPr>
        <w:t xml:space="preserve"> focuses on whether the non-breaching party has satisfied conditions precedent to termination, if any, before declaring the contract unenforceable because of a mater</w:t>
      </w:r>
      <w:r w:rsidR="00F044DF">
        <w:rPr>
          <w:rFonts w:ascii="Times New Roman" w:hAnsi="Times New Roman" w:cs="Times New Roman"/>
          <w:sz w:val="24"/>
          <w:szCs w:val="24"/>
        </w:rPr>
        <w:t>ial breach by the counter-party</w:t>
      </w:r>
      <w:r w:rsidR="00172333">
        <w:rPr>
          <w:rFonts w:ascii="Times New Roman" w:hAnsi="Times New Roman" w:cs="Times New Roman"/>
          <w:sz w:val="24"/>
          <w:szCs w:val="24"/>
        </w:rPr>
        <w:t>.</w:t>
      </w:r>
      <w:r w:rsidR="00F044DF">
        <w:rPr>
          <w:rStyle w:val="FootnoteReference"/>
          <w:rFonts w:ascii="Times New Roman" w:hAnsi="Times New Roman" w:cs="Times New Roman"/>
          <w:sz w:val="24"/>
          <w:szCs w:val="24"/>
        </w:rPr>
        <w:footnoteReference w:id="18"/>
      </w:r>
      <w:r w:rsidR="00752AB8">
        <w:rPr>
          <w:rFonts w:ascii="Times New Roman" w:hAnsi="Times New Roman" w:cs="Times New Roman"/>
          <w:sz w:val="24"/>
          <w:szCs w:val="24"/>
        </w:rPr>
        <w:t xml:space="preserve"> </w:t>
      </w:r>
      <w:r w:rsidR="00172333">
        <w:rPr>
          <w:rFonts w:ascii="Times New Roman" w:hAnsi="Times New Roman" w:cs="Times New Roman"/>
          <w:sz w:val="24"/>
          <w:szCs w:val="24"/>
        </w:rPr>
        <w:t xml:space="preserve"> As such, s. 95.11(3</w:t>
      </w:r>
      <w:proofErr w:type="gramStart"/>
      <w:r w:rsidR="00172333">
        <w:rPr>
          <w:rFonts w:ascii="Times New Roman" w:hAnsi="Times New Roman" w:cs="Times New Roman"/>
          <w:sz w:val="24"/>
          <w:szCs w:val="24"/>
        </w:rPr>
        <w:t>)(</w:t>
      </w:r>
      <w:proofErr w:type="gramEnd"/>
      <w:r w:rsidR="0077100E">
        <w:rPr>
          <w:rFonts w:ascii="Times New Roman" w:hAnsi="Times New Roman" w:cs="Times New Roman"/>
          <w:sz w:val="24"/>
          <w:szCs w:val="24"/>
        </w:rPr>
        <w:t>b</w:t>
      </w:r>
      <w:r w:rsidR="00172333">
        <w:rPr>
          <w:rFonts w:ascii="Times New Roman" w:hAnsi="Times New Roman" w:cs="Times New Roman"/>
          <w:sz w:val="24"/>
          <w:szCs w:val="24"/>
        </w:rPr>
        <w:t xml:space="preserve">) </w:t>
      </w:r>
      <w:r w:rsidR="00752AB8">
        <w:rPr>
          <w:rFonts w:ascii="Times New Roman" w:hAnsi="Times New Roman" w:cs="Times New Roman"/>
          <w:sz w:val="24"/>
          <w:szCs w:val="24"/>
        </w:rPr>
        <w:t xml:space="preserve">(2023) </w:t>
      </w:r>
      <w:r w:rsidR="00172333">
        <w:rPr>
          <w:rFonts w:ascii="Times New Roman" w:hAnsi="Times New Roman" w:cs="Times New Roman"/>
          <w:sz w:val="24"/>
          <w:szCs w:val="24"/>
        </w:rPr>
        <w:t xml:space="preserve">is ambiguous, insofar as it does not address when the limitations and repose period would run where a contract is terminated, </w:t>
      </w:r>
      <w:r w:rsidR="00597743">
        <w:rPr>
          <w:rFonts w:ascii="Times New Roman" w:hAnsi="Times New Roman" w:cs="Times New Roman"/>
          <w:sz w:val="24"/>
          <w:szCs w:val="24"/>
        </w:rPr>
        <w:t>as opposed to abandoned</w:t>
      </w:r>
      <w:r w:rsidR="0025146E">
        <w:rPr>
          <w:rFonts w:ascii="Times New Roman" w:hAnsi="Times New Roman" w:cs="Times New Roman"/>
          <w:sz w:val="24"/>
          <w:szCs w:val="24"/>
        </w:rPr>
        <w:t>.</w:t>
      </w:r>
    </w:p>
    <w:p w:rsidR="00DD4D26" w:rsidP="00172333" w:rsidRDefault="00DD4D26" w14:paraId="31659D44" w14:textId="77777777">
      <w:pPr>
        <w:spacing w:after="0" w:line="240" w:lineRule="auto"/>
        <w:ind w:firstLine="720"/>
        <w:jc w:val="both"/>
        <w:rPr>
          <w:rFonts w:ascii="Times New Roman" w:hAnsi="Times New Roman" w:cs="Times New Roman"/>
          <w:sz w:val="24"/>
          <w:szCs w:val="24"/>
        </w:rPr>
      </w:pPr>
    </w:p>
    <w:p w:rsidR="00DD4D26" w:rsidP="00172333" w:rsidRDefault="00DD4D26" w14:paraId="224F0B9A" w14:textId="486633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Fourth,</w:t>
      </w:r>
      <w:r w:rsidR="00752AB8">
        <w:rPr>
          <w:rFonts w:ascii="Times New Roman" w:hAnsi="Times New Roman" w:cs="Times New Roman"/>
          <w:sz w:val="24"/>
          <w:szCs w:val="24"/>
        </w:rPr>
        <w:t xml:space="preserve"> and somewhat relatedly,</w:t>
      </w:r>
      <w:r w:rsidR="006C3ED0">
        <w:rPr>
          <w:rFonts w:ascii="Times New Roman" w:hAnsi="Times New Roman" w:cs="Times New Roman"/>
          <w:sz w:val="24"/>
          <w:szCs w:val="24"/>
        </w:rPr>
        <w:t xml:space="preserve"> s. 95.11(3)(b</w:t>
      </w:r>
      <w:r>
        <w:rPr>
          <w:rFonts w:ascii="Times New Roman" w:hAnsi="Times New Roman" w:cs="Times New Roman"/>
          <w:sz w:val="24"/>
          <w:szCs w:val="24"/>
        </w:rPr>
        <w:t>)</w:t>
      </w:r>
      <w:r w:rsidR="00752AB8">
        <w:rPr>
          <w:rFonts w:ascii="Times New Roman" w:hAnsi="Times New Roman" w:cs="Times New Roman"/>
          <w:sz w:val="24"/>
          <w:szCs w:val="24"/>
        </w:rPr>
        <w:t xml:space="preserve"> </w:t>
      </w:r>
      <w:r>
        <w:rPr>
          <w:rFonts w:ascii="Times New Roman" w:hAnsi="Times New Roman" w:cs="Times New Roman"/>
          <w:sz w:val="24"/>
          <w:szCs w:val="24"/>
        </w:rPr>
        <w:t>is ambiguous</w:t>
      </w:r>
      <w:r w:rsidR="0025146E">
        <w:rPr>
          <w:rFonts w:ascii="Times New Roman" w:hAnsi="Times New Roman" w:cs="Times New Roman"/>
          <w:sz w:val="24"/>
          <w:szCs w:val="24"/>
        </w:rPr>
        <w:t xml:space="preserve"> and potentially </w:t>
      </w:r>
      <w:r w:rsidR="00A50760">
        <w:rPr>
          <w:rFonts w:ascii="Times New Roman" w:hAnsi="Times New Roman" w:cs="Times New Roman"/>
          <w:sz w:val="24"/>
          <w:szCs w:val="24"/>
        </w:rPr>
        <w:t>inequitable</w:t>
      </w:r>
      <w:r>
        <w:rPr>
          <w:rFonts w:ascii="Times New Roman" w:hAnsi="Times New Roman" w:cs="Times New Roman"/>
          <w:sz w:val="24"/>
          <w:szCs w:val="24"/>
        </w:rPr>
        <w:t xml:space="preserve"> where </w:t>
      </w:r>
      <w:bookmarkStart w:name="_GoBack" w:id="0"/>
      <w:bookmarkEnd w:id="0"/>
      <w:r>
        <w:rPr>
          <w:rFonts w:ascii="Times New Roman" w:hAnsi="Times New Roman" w:cs="Times New Roman"/>
          <w:sz w:val="24"/>
          <w:szCs w:val="24"/>
        </w:rPr>
        <w:t>there is an “abandonment of construction,” but the owner of the real property to be improved hires a subsequent designer, planner, or contractor to complete the existing permitted improvemen</w:t>
      </w:r>
      <w:r w:rsidR="006C3ED0">
        <w:rPr>
          <w:rFonts w:ascii="Times New Roman" w:hAnsi="Times New Roman" w:cs="Times New Roman"/>
          <w:sz w:val="24"/>
          <w:szCs w:val="24"/>
        </w:rPr>
        <w:t>ts. Under s. 95.11(3</w:t>
      </w:r>
      <w:proofErr w:type="gramStart"/>
      <w:r w:rsidR="006C3ED0">
        <w:rPr>
          <w:rFonts w:ascii="Times New Roman" w:hAnsi="Times New Roman" w:cs="Times New Roman"/>
          <w:sz w:val="24"/>
          <w:szCs w:val="24"/>
        </w:rPr>
        <w:t>)(</w:t>
      </w:r>
      <w:proofErr w:type="gramEnd"/>
      <w:r w:rsidR="006C3ED0">
        <w:rPr>
          <w:rFonts w:ascii="Times New Roman" w:hAnsi="Times New Roman" w:cs="Times New Roman"/>
          <w:sz w:val="24"/>
          <w:szCs w:val="24"/>
        </w:rPr>
        <w:t>b</w:t>
      </w:r>
      <w:r w:rsidR="0025146E">
        <w:rPr>
          <w:rFonts w:ascii="Times New Roman" w:hAnsi="Times New Roman" w:cs="Times New Roman"/>
          <w:sz w:val="24"/>
          <w:szCs w:val="24"/>
        </w:rPr>
        <w:t>)</w:t>
      </w:r>
      <w:r>
        <w:rPr>
          <w:rFonts w:ascii="Times New Roman" w:hAnsi="Times New Roman" w:cs="Times New Roman"/>
          <w:sz w:val="24"/>
          <w:szCs w:val="24"/>
        </w:rPr>
        <w:t xml:space="preserve"> the limitations periods would begin to run from the </w:t>
      </w:r>
      <w:r>
        <w:rPr>
          <w:rFonts w:ascii="Times New Roman" w:hAnsi="Times New Roman" w:cs="Times New Roman"/>
          <w:i/>
          <w:sz w:val="24"/>
          <w:szCs w:val="24"/>
        </w:rPr>
        <w:t>earlier</w:t>
      </w:r>
      <w:r>
        <w:rPr>
          <w:rFonts w:ascii="Times New Roman" w:hAnsi="Times New Roman" w:cs="Times New Roman"/>
          <w:sz w:val="24"/>
          <w:szCs w:val="24"/>
        </w:rPr>
        <w:t xml:space="preserve"> of abandonment, TCO, CO, or C</w:t>
      </w:r>
      <w:r w:rsidR="0025146E">
        <w:rPr>
          <w:rFonts w:ascii="Times New Roman" w:hAnsi="Times New Roman" w:cs="Times New Roman"/>
          <w:sz w:val="24"/>
          <w:szCs w:val="24"/>
        </w:rPr>
        <w:t>C.  As an example, assume that a</w:t>
      </w:r>
      <w:r>
        <w:rPr>
          <w:rFonts w:ascii="Times New Roman" w:hAnsi="Times New Roman" w:cs="Times New Roman"/>
          <w:sz w:val="24"/>
          <w:szCs w:val="24"/>
        </w:rPr>
        <w:t xml:space="preserve"> </w:t>
      </w:r>
      <w:r w:rsidR="0025146E">
        <w:rPr>
          <w:rFonts w:ascii="Times New Roman" w:hAnsi="Times New Roman" w:cs="Times New Roman"/>
          <w:sz w:val="24"/>
          <w:szCs w:val="24"/>
        </w:rPr>
        <w:t xml:space="preserve">condominium </w:t>
      </w:r>
      <w:r>
        <w:rPr>
          <w:rFonts w:ascii="Times New Roman" w:hAnsi="Times New Roman" w:cs="Times New Roman"/>
          <w:sz w:val="24"/>
          <w:szCs w:val="24"/>
        </w:rPr>
        <w:t xml:space="preserve">developer </w:t>
      </w:r>
      <w:r w:rsidR="0025146E">
        <w:rPr>
          <w:rFonts w:ascii="Times New Roman" w:hAnsi="Times New Roman" w:cs="Times New Roman"/>
          <w:sz w:val="24"/>
          <w:szCs w:val="24"/>
        </w:rPr>
        <w:t>begins</w:t>
      </w:r>
      <w:r w:rsidR="00A50760">
        <w:rPr>
          <w:rFonts w:ascii="Times New Roman" w:hAnsi="Times New Roman" w:cs="Times New Roman"/>
          <w:sz w:val="24"/>
          <w:szCs w:val="24"/>
        </w:rPr>
        <w:t xml:space="preserve"> construction and</w:t>
      </w:r>
      <w:r>
        <w:rPr>
          <w:rFonts w:ascii="Times New Roman" w:hAnsi="Times New Roman" w:cs="Times New Roman"/>
          <w:sz w:val="24"/>
          <w:szCs w:val="24"/>
        </w:rPr>
        <w:t xml:space="preserve"> i</w:t>
      </w:r>
      <w:r w:rsidR="00A50760">
        <w:rPr>
          <w:rFonts w:ascii="Times New Roman" w:hAnsi="Times New Roman" w:cs="Times New Roman"/>
          <w:sz w:val="24"/>
          <w:szCs w:val="24"/>
        </w:rPr>
        <w:t>ts contractor becomes insolvent</w:t>
      </w:r>
      <w:r>
        <w:rPr>
          <w:rFonts w:ascii="Times New Roman" w:hAnsi="Times New Roman" w:cs="Times New Roman"/>
          <w:sz w:val="24"/>
          <w:szCs w:val="24"/>
        </w:rPr>
        <w:t xml:space="preserve"> and abandons the project</w:t>
      </w:r>
      <w:r w:rsidR="00A50760">
        <w:rPr>
          <w:rFonts w:ascii="Times New Roman" w:hAnsi="Times New Roman" w:cs="Times New Roman"/>
          <w:sz w:val="24"/>
          <w:szCs w:val="24"/>
        </w:rPr>
        <w:t xml:space="preserve"> before completion</w:t>
      </w:r>
      <w:r>
        <w:rPr>
          <w:rFonts w:ascii="Times New Roman" w:hAnsi="Times New Roman" w:cs="Times New Roman"/>
          <w:sz w:val="24"/>
          <w:szCs w:val="24"/>
        </w:rPr>
        <w:t xml:space="preserve">.  The developer </w:t>
      </w:r>
      <w:r w:rsidR="00A50760">
        <w:rPr>
          <w:rFonts w:ascii="Times New Roman" w:hAnsi="Times New Roman" w:cs="Times New Roman"/>
          <w:sz w:val="24"/>
          <w:szCs w:val="24"/>
        </w:rPr>
        <w:t>then transfers the</w:t>
      </w:r>
      <w:r>
        <w:rPr>
          <w:rFonts w:ascii="Times New Roman" w:hAnsi="Times New Roman" w:cs="Times New Roman"/>
          <w:sz w:val="24"/>
          <w:szCs w:val="24"/>
        </w:rPr>
        <w:t xml:space="preserve"> existing building permit </w:t>
      </w:r>
      <w:r w:rsidR="0025146E">
        <w:rPr>
          <w:rFonts w:ascii="Times New Roman" w:hAnsi="Times New Roman" w:cs="Times New Roman"/>
          <w:sz w:val="24"/>
          <w:szCs w:val="24"/>
        </w:rPr>
        <w:t xml:space="preserve">from the </w:t>
      </w:r>
      <w:r w:rsidR="00A50760">
        <w:rPr>
          <w:rFonts w:ascii="Times New Roman" w:hAnsi="Times New Roman" w:cs="Times New Roman"/>
          <w:sz w:val="24"/>
          <w:szCs w:val="24"/>
        </w:rPr>
        <w:t xml:space="preserve">first </w:t>
      </w:r>
      <w:r>
        <w:rPr>
          <w:rFonts w:ascii="Times New Roman" w:hAnsi="Times New Roman" w:cs="Times New Roman"/>
          <w:sz w:val="24"/>
          <w:szCs w:val="24"/>
        </w:rPr>
        <w:t xml:space="preserve">contractor to the replacement contractor.  </w:t>
      </w:r>
      <w:r w:rsidR="00A50760">
        <w:rPr>
          <w:rFonts w:ascii="Times New Roman" w:hAnsi="Times New Roman" w:cs="Times New Roman"/>
          <w:sz w:val="24"/>
          <w:szCs w:val="24"/>
        </w:rPr>
        <w:t>The replacement contractor obtains a CO for the project under the initial building permit</w:t>
      </w:r>
      <w:r>
        <w:rPr>
          <w:rFonts w:ascii="Times New Roman" w:hAnsi="Times New Roman" w:cs="Times New Roman"/>
          <w:sz w:val="24"/>
          <w:szCs w:val="24"/>
        </w:rPr>
        <w:t xml:space="preserve">.  </w:t>
      </w:r>
      <w:r w:rsidR="00A50760">
        <w:rPr>
          <w:rFonts w:ascii="Times New Roman" w:hAnsi="Times New Roman" w:cs="Times New Roman"/>
          <w:sz w:val="24"/>
          <w:szCs w:val="24"/>
        </w:rPr>
        <w:t xml:space="preserve">In a subsequent suit for construction defects by either the developer or </w:t>
      </w:r>
      <w:r w:rsidR="00A50760">
        <w:rPr>
          <w:rFonts w:ascii="Times New Roman" w:hAnsi="Times New Roman" w:cs="Times New Roman"/>
          <w:sz w:val="24"/>
          <w:szCs w:val="24"/>
        </w:rPr>
        <w:lastRenderedPageBreak/>
        <w:t>condominium association, the replacement contractor</w:t>
      </w:r>
      <w:r w:rsidR="003749AD">
        <w:rPr>
          <w:rFonts w:ascii="Times New Roman" w:hAnsi="Times New Roman" w:cs="Times New Roman"/>
          <w:sz w:val="24"/>
          <w:szCs w:val="24"/>
        </w:rPr>
        <w:t xml:space="preserve"> would</w:t>
      </w:r>
      <w:r w:rsidR="00A50760">
        <w:rPr>
          <w:rFonts w:ascii="Times New Roman" w:hAnsi="Times New Roman" w:cs="Times New Roman"/>
          <w:sz w:val="24"/>
          <w:szCs w:val="24"/>
        </w:rPr>
        <w:t xml:space="preserve"> argue that the limitations and repose periods began to run on the </w:t>
      </w:r>
      <w:r w:rsidR="00A50760">
        <w:rPr>
          <w:rFonts w:ascii="Times New Roman" w:hAnsi="Times New Roman" w:cs="Times New Roman"/>
          <w:i/>
          <w:sz w:val="24"/>
          <w:szCs w:val="24"/>
        </w:rPr>
        <w:t>earliest</w:t>
      </w:r>
      <w:r w:rsidR="00A50760">
        <w:rPr>
          <w:rFonts w:ascii="Times New Roman" w:hAnsi="Times New Roman" w:cs="Times New Roman"/>
          <w:sz w:val="24"/>
          <w:szCs w:val="24"/>
        </w:rPr>
        <w:t xml:space="preserve"> of the specified events under </w:t>
      </w:r>
      <w:r w:rsidR="006C3ED0">
        <w:rPr>
          <w:rFonts w:ascii="Times New Roman" w:hAnsi="Times New Roman" w:cs="Times New Roman"/>
          <w:sz w:val="24"/>
          <w:szCs w:val="24"/>
        </w:rPr>
        <w:t>s. 95.11(3)(b</w:t>
      </w:r>
      <w:r w:rsidR="00A50760">
        <w:rPr>
          <w:rFonts w:ascii="Times New Roman" w:hAnsi="Times New Roman" w:cs="Times New Roman"/>
          <w:sz w:val="24"/>
          <w:szCs w:val="24"/>
        </w:rPr>
        <w:t>)</w:t>
      </w:r>
      <w:r w:rsidR="006C3ED0">
        <w:rPr>
          <w:rFonts w:ascii="Times New Roman" w:hAnsi="Times New Roman" w:cs="Times New Roman"/>
          <w:sz w:val="24"/>
          <w:szCs w:val="24"/>
        </w:rPr>
        <w:t>,</w:t>
      </w:r>
      <w:r w:rsidR="00A50760">
        <w:rPr>
          <w:rFonts w:ascii="Times New Roman" w:hAnsi="Times New Roman" w:cs="Times New Roman"/>
          <w:sz w:val="24"/>
          <w:szCs w:val="24"/>
        </w:rPr>
        <w:t xml:space="preserve"> </w:t>
      </w:r>
      <w:r w:rsidRPr="000A003F" w:rsidR="00A50760">
        <w:rPr>
          <w:rFonts w:ascii="Times New Roman" w:hAnsi="Times New Roman" w:cs="Times New Roman"/>
          <w:i/>
          <w:sz w:val="24"/>
          <w:szCs w:val="24"/>
        </w:rPr>
        <w:t>i.e.</w:t>
      </w:r>
      <w:r w:rsidRPr="0077100E" w:rsidR="00A50760">
        <w:rPr>
          <w:rFonts w:ascii="Times New Roman" w:hAnsi="Times New Roman" w:cs="Times New Roman"/>
          <w:sz w:val="24"/>
          <w:szCs w:val="24"/>
        </w:rPr>
        <w:t xml:space="preserve">, </w:t>
      </w:r>
      <w:r w:rsidR="00A50760">
        <w:rPr>
          <w:rFonts w:ascii="Times New Roman" w:hAnsi="Times New Roman" w:cs="Times New Roman"/>
          <w:sz w:val="24"/>
          <w:szCs w:val="24"/>
        </w:rPr>
        <w:t xml:space="preserve">abandonment of construction by the first contractor.  The developer or association may argue that this result is inequitable, </w:t>
      </w:r>
      <w:r w:rsidR="0025146E">
        <w:rPr>
          <w:rFonts w:ascii="Times New Roman" w:hAnsi="Times New Roman" w:cs="Times New Roman"/>
          <w:sz w:val="24"/>
          <w:szCs w:val="24"/>
        </w:rPr>
        <w:t>because</w:t>
      </w:r>
      <w:r w:rsidR="00A50760">
        <w:rPr>
          <w:rFonts w:ascii="Times New Roman" w:hAnsi="Times New Roman" w:cs="Times New Roman"/>
          <w:sz w:val="24"/>
          <w:szCs w:val="24"/>
        </w:rPr>
        <w:t xml:space="preserve"> the delays occasioned by having to replace the abandoned contractor led to a belated discovery of defects </w:t>
      </w:r>
      <w:r w:rsidR="0025146E">
        <w:rPr>
          <w:rFonts w:ascii="Times New Roman" w:hAnsi="Times New Roman" w:cs="Times New Roman"/>
          <w:sz w:val="24"/>
          <w:szCs w:val="24"/>
        </w:rPr>
        <w:t>at or after TCO or CO</w:t>
      </w:r>
      <w:r w:rsidR="00A50760">
        <w:rPr>
          <w:rFonts w:ascii="Times New Roman" w:hAnsi="Times New Roman" w:cs="Times New Roman"/>
          <w:sz w:val="24"/>
          <w:szCs w:val="24"/>
        </w:rPr>
        <w:t>.  However, the replacement contractor would</w:t>
      </w:r>
      <w:r w:rsidR="006C3ED0">
        <w:rPr>
          <w:rFonts w:ascii="Times New Roman" w:hAnsi="Times New Roman" w:cs="Times New Roman"/>
          <w:sz w:val="24"/>
          <w:szCs w:val="24"/>
        </w:rPr>
        <w:t xml:space="preserve"> likely argue that s. 95.11(3</w:t>
      </w:r>
      <w:proofErr w:type="gramStart"/>
      <w:r w:rsidR="006C3ED0">
        <w:rPr>
          <w:rFonts w:ascii="Times New Roman" w:hAnsi="Times New Roman" w:cs="Times New Roman"/>
          <w:sz w:val="24"/>
          <w:szCs w:val="24"/>
        </w:rPr>
        <w:t>)(</w:t>
      </w:r>
      <w:proofErr w:type="gramEnd"/>
      <w:r w:rsidR="006C3ED0">
        <w:rPr>
          <w:rFonts w:ascii="Times New Roman" w:hAnsi="Times New Roman" w:cs="Times New Roman"/>
          <w:sz w:val="24"/>
          <w:szCs w:val="24"/>
        </w:rPr>
        <w:t>b</w:t>
      </w:r>
      <w:r w:rsidR="00A50760">
        <w:rPr>
          <w:rFonts w:ascii="Times New Roman" w:hAnsi="Times New Roman" w:cs="Times New Roman"/>
          <w:sz w:val="24"/>
          <w:szCs w:val="24"/>
        </w:rPr>
        <w:t>), b</w:t>
      </w:r>
      <w:r w:rsidR="000B3F17">
        <w:rPr>
          <w:rFonts w:ascii="Times New Roman" w:hAnsi="Times New Roman" w:cs="Times New Roman"/>
          <w:sz w:val="24"/>
          <w:szCs w:val="24"/>
        </w:rPr>
        <w:t>y</w:t>
      </w:r>
      <w:r w:rsidR="00A50760">
        <w:rPr>
          <w:rFonts w:ascii="Times New Roman" w:hAnsi="Times New Roman" w:cs="Times New Roman"/>
          <w:sz w:val="24"/>
          <w:szCs w:val="24"/>
        </w:rPr>
        <w:t xml:space="preserve"> its plain terms, allows for </w:t>
      </w:r>
      <w:r w:rsidR="000B3F17">
        <w:rPr>
          <w:rFonts w:ascii="Times New Roman" w:hAnsi="Times New Roman" w:cs="Times New Roman"/>
          <w:sz w:val="24"/>
          <w:szCs w:val="24"/>
        </w:rPr>
        <w:t>no</w:t>
      </w:r>
      <w:r w:rsidR="00A50760">
        <w:rPr>
          <w:rFonts w:ascii="Times New Roman" w:hAnsi="Times New Roman" w:cs="Times New Roman"/>
          <w:sz w:val="24"/>
          <w:szCs w:val="24"/>
        </w:rPr>
        <w:t xml:space="preserve"> such </w:t>
      </w:r>
      <w:r w:rsidR="000B3F17">
        <w:rPr>
          <w:rFonts w:ascii="Times New Roman" w:hAnsi="Times New Roman" w:cs="Times New Roman"/>
          <w:sz w:val="24"/>
          <w:szCs w:val="24"/>
        </w:rPr>
        <w:t xml:space="preserve">equitable </w:t>
      </w:r>
      <w:r w:rsidR="00A50760">
        <w:rPr>
          <w:rFonts w:ascii="Times New Roman" w:hAnsi="Times New Roman" w:cs="Times New Roman"/>
          <w:sz w:val="24"/>
          <w:szCs w:val="24"/>
        </w:rPr>
        <w:t xml:space="preserve">consideration, and </w:t>
      </w:r>
      <w:r w:rsidR="000B3F17">
        <w:rPr>
          <w:rFonts w:ascii="Times New Roman" w:hAnsi="Times New Roman" w:cs="Times New Roman"/>
          <w:sz w:val="24"/>
          <w:szCs w:val="24"/>
        </w:rPr>
        <w:t>the limitations or repose periods should be applied from the earliest date</w:t>
      </w:r>
      <w:r w:rsidR="003749AD">
        <w:rPr>
          <w:rFonts w:ascii="Times New Roman" w:hAnsi="Times New Roman" w:cs="Times New Roman"/>
          <w:sz w:val="24"/>
          <w:szCs w:val="24"/>
        </w:rPr>
        <w:t>(</w:t>
      </w:r>
      <w:r w:rsidR="000B3F17">
        <w:rPr>
          <w:rFonts w:ascii="Times New Roman" w:hAnsi="Times New Roman" w:cs="Times New Roman"/>
          <w:sz w:val="24"/>
          <w:szCs w:val="24"/>
        </w:rPr>
        <w:t>the first contractor’s abandonment of the project</w:t>
      </w:r>
      <w:r w:rsidR="003749AD">
        <w:rPr>
          <w:rFonts w:ascii="Times New Roman" w:hAnsi="Times New Roman" w:cs="Times New Roman"/>
          <w:sz w:val="24"/>
          <w:szCs w:val="24"/>
        </w:rPr>
        <w:t>)</w:t>
      </w:r>
      <w:r w:rsidR="000B3F17">
        <w:rPr>
          <w:rFonts w:ascii="Times New Roman" w:hAnsi="Times New Roman" w:cs="Times New Roman"/>
          <w:sz w:val="24"/>
          <w:szCs w:val="24"/>
        </w:rPr>
        <w:t xml:space="preserve">.  This scenario is not </w:t>
      </w:r>
      <w:r w:rsidR="003749AD">
        <w:rPr>
          <w:rFonts w:ascii="Times New Roman" w:hAnsi="Times New Roman" w:cs="Times New Roman"/>
          <w:sz w:val="24"/>
          <w:szCs w:val="24"/>
        </w:rPr>
        <w:t xml:space="preserve">considered or </w:t>
      </w:r>
      <w:r w:rsidR="000B3F17">
        <w:rPr>
          <w:rFonts w:ascii="Times New Roman" w:hAnsi="Times New Roman" w:cs="Times New Roman"/>
          <w:sz w:val="24"/>
          <w:szCs w:val="24"/>
        </w:rPr>
        <w:t>address</w:t>
      </w:r>
      <w:r w:rsidR="006C3ED0">
        <w:rPr>
          <w:rFonts w:ascii="Times New Roman" w:hAnsi="Times New Roman" w:cs="Times New Roman"/>
          <w:sz w:val="24"/>
          <w:szCs w:val="24"/>
        </w:rPr>
        <w:t xml:space="preserve">ed in the staff analysis for </w:t>
      </w:r>
      <w:r w:rsidR="000B3F17">
        <w:rPr>
          <w:rFonts w:ascii="Times New Roman" w:hAnsi="Times New Roman" w:cs="Times New Roman"/>
          <w:sz w:val="24"/>
          <w:szCs w:val="24"/>
        </w:rPr>
        <w:t>HB</w:t>
      </w:r>
      <w:r w:rsidR="006C3ED0">
        <w:rPr>
          <w:rFonts w:ascii="Times New Roman" w:hAnsi="Times New Roman" w:cs="Times New Roman"/>
          <w:sz w:val="24"/>
          <w:szCs w:val="24"/>
        </w:rPr>
        <w:t xml:space="preserve"> </w:t>
      </w:r>
      <w:r w:rsidR="000B3F17">
        <w:rPr>
          <w:rFonts w:ascii="Times New Roman" w:hAnsi="Times New Roman" w:cs="Times New Roman"/>
          <w:sz w:val="24"/>
          <w:szCs w:val="24"/>
        </w:rPr>
        <w:t>85</w:t>
      </w:r>
      <w:r w:rsidR="006C3ED0">
        <w:rPr>
          <w:rFonts w:ascii="Times New Roman" w:hAnsi="Times New Roman" w:cs="Times New Roman"/>
          <w:sz w:val="24"/>
          <w:szCs w:val="24"/>
        </w:rPr>
        <w:t xml:space="preserve"> or SB 360</w:t>
      </w:r>
      <w:r w:rsidR="000B3F17">
        <w:rPr>
          <w:rFonts w:ascii="Times New Roman" w:hAnsi="Times New Roman" w:cs="Times New Roman"/>
          <w:sz w:val="24"/>
          <w:szCs w:val="24"/>
        </w:rPr>
        <w:t>, and would appear to be an unintended consequ</w:t>
      </w:r>
      <w:r w:rsidR="00502584">
        <w:rPr>
          <w:rFonts w:ascii="Times New Roman" w:hAnsi="Times New Roman" w:cs="Times New Roman"/>
          <w:sz w:val="24"/>
          <w:szCs w:val="24"/>
        </w:rPr>
        <w:t xml:space="preserve">ence </w:t>
      </w:r>
      <w:r w:rsidR="003749AD">
        <w:rPr>
          <w:rFonts w:ascii="Times New Roman" w:hAnsi="Times New Roman" w:cs="Times New Roman"/>
          <w:sz w:val="24"/>
          <w:szCs w:val="24"/>
        </w:rPr>
        <w:t>of s. 95.11(3)(b)</w:t>
      </w:r>
      <w:r w:rsidR="000B3F17">
        <w:rPr>
          <w:rFonts w:ascii="Times New Roman" w:hAnsi="Times New Roman" w:cs="Times New Roman"/>
          <w:sz w:val="24"/>
          <w:szCs w:val="24"/>
        </w:rPr>
        <w:t>.</w:t>
      </w:r>
    </w:p>
    <w:p w:rsidR="00597743" w:rsidP="00172333" w:rsidRDefault="00597743" w14:paraId="6BD886FA" w14:textId="6CBF12D0">
      <w:pPr>
        <w:spacing w:after="0" w:line="240" w:lineRule="auto"/>
        <w:ind w:firstLine="720"/>
        <w:jc w:val="both"/>
        <w:rPr>
          <w:rFonts w:ascii="Times New Roman" w:hAnsi="Times New Roman" w:cs="Times New Roman"/>
          <w:sz w:val="24"/>
          <w:szCs w:val="24"/>
        </w:rPr>
      </w:pPr>
    </w:p>
    <w:p w:rsidRPr="00D821CC" w:rsidR="00597743" w:rsidP="00172333" w:rsidRDefault="00597743" w14:paraId="7941A846" w14:textId="2808E9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Fifth, and finally, s. 95.11(3)(b) does not </w:t>
      </w:r>
      <w:r w:rsidR="003749AD">
        <w:rPr>
          <w:rFonts w:ascii="Times New Roman" w:hAnsi="Times New Roman" w:cs="Times New Roman"/>
          <w:sz w:val="24"/>
          <w:szCs w:val="24"/>
        </w:rPr>
        <w:t>contain a “catch-all” provision</w:t>
      </w:r>
      <w:r>
        <w:rPr>
          <w:rFonts w:ascii="Times New Roman" w:hAnsi="Times New Roman" w:cs="Times New Roman"/>
          <w:sz w:val="24"/>
          <w:szCs w:val="24"/>
        </w:rPr>
        <w:t xml:space="preserve"> for improvement</w:t>
      </w:r>
      <w:r w:rsidR="003749AD">
        <w:rPr>
          <w:rFonts w:ascii="Times New Roman" w:hAnsi="Times New Roman" w:cs="Times New Roman"/>
          <w:sz w:val="24"/>
          <w:szCs w:val="24"/>
        </w:rPr>
        <w:t>s</w:t>
      </w:r>
      <w:r>
        <w:rPr>
          <w:rFonts w:ascii="Times New Roman" w:hAnsi="Times New Roman" w:cs="Times New Roman"/>
          <w:sz w:val="24"/>
          <w:szCs w:val="24"/>
        </w:rPr>
        <w:t xml:space="preserve"> to real property </w:t>
      </w:r>
      <w:r w:rsidR="003749AD">
        <w:rPr>
          <w:rFonts w:ascii="Times New Roman" w:hAnsi="Times New Roman" w:cs="Times New Roman"/>
          <w:sz w:val="24"/>
          <w:szCs w:val="24"/>
        </w:rPr>
        <w:t>in which the</w:t>
      </w:r>
      <w:r>
        <w:rPr>
          <w:rFonts w:ascii="Times New Roman" w:hAnsi="Times New Roman" w:cs="Times New Roman"/>
          <w:sz w:val="24"/>
          <w:szCs w:val="24"/>
        </w:rPr>
        <w:t xml:space="preserve"> statutorily enumerated “clock starter” even</w:t>
      </w:r>
      <w:r w:rsidR="003749AD">
        <w:rPr>
          <w:rFonts w:ascii="Times New Roman" w:hAnsi="Times New Roman" w:cs="Times New Roman"/>
          <w:sz w:val="24"/>
          <w:szCs w:val="24"/>
        </w:rPr>
        <w:t xml:space="preserve">ts or “triggers” do not apply.  Improvements in response to a natural </w:t>
      </w:r>
      <w:r w:rsidRPr="00D821CC" w:rsidR="003749AD">
        <w:rPr>
          <w:rFonts w:ascii="Times New Roman" w:hAnsi="Times New Roman" w:cs="Times New Roman"/>
          <w:sz w:val="24"/>
          <w:szCs w:val="24"/>
        </w:rPr>
        <w:t>disaster,</w:t>
      </w:r>
      <w:r w:rsidR="003749AD">
        <w:rPr>
          <w:rFonts w:ascii="Times New Roman" w:hAnsi="Times New Roman" w:cs="Times New Roman"/>
          <w:sz w:val="24"/>
          <w:szCs w:val="24"/>
        </w:rPr>
        <w:t xml:space="preserve"> such</w:t>
      </w:r>
      <w:r w:rsidRPr="00D821CC" w:rsidR="003749AD">
        <w:rPr>
          <w:rFonts w:ascii="Times New Roman" w:hAnsi="Times New Roman" w:cs="Times New Roman"/>
          <w:sz w:val="24"/>
          <w:szCs w:val="24"/>
        </w:rPr>
        <w:t xml:space="preserve"> emergency water extraction and remediation,</w:t>
      </w:r>
      <w:r w:rsidR="003749AD">
        <w:rPr>
          <w:rFonts w:ascii="Times New Roman" w:hAnsi="Times New Roman" w:cs="Times New Roman"/>
          <w:sz w:val="24"/>
          <w:szCs w:val="24"/>
        </w:rPr>
        <w:t xml:space="preserve"> or for</w:t>
      </w:r>
      <w:r w:rsidRPr="00D821CC" w:rsidR="003749AD">
        <w:rPr>
          <w:rFonts w:ascii="Times New Roman" w:hAnsi="Times New Roman" w:cs="Times New Roman"/>
          <w:sz w:val="24"/>
          <w:szCs w:val="24"/>
        </w:rPr>
        <w:t xml:space="preserve"> waterproofing, painting, and flooring</w:t>
      </w:r>
      <w:r w:rsidR="003749AD">
        <w:rPr>
          <w:rFonts w:ascii="Times New Roman" w:hAnsi="Times New Roman" w:cs="Times New Roman"/>
          <w:sz w:val="24"/>
          <w:szCs w:val="24"/>
        </w:rPr>
        <w:t xml:space="preserve"> installation, may not be subject to issuance of a </w:t>
      </w:r>
      <w:r w:rsidRPr="00D821CC" w:rsidR="00D821CC">
        <w:rPr>
          <w:rFonts w:ascii="Times New Roman" w:hAnsi="Times New Roman" w:cs="Times New Roman"/>
          <w:sz w:val="24"/>
          <w:szCs w:val="24"/>
        </w:rPr>
        <w:t>CO</w:t>
      </w:r>
      <w:r w:rsidR="003749AD">
        <w:rPr>
          <w:rFonts w:ascii="Times New Roman" w:hAnsi="Times New Roman" w:cs="Times New Roman"/>
          <w:sz w:val="24"/>
          <w:szCs w:val="24"/>
        </w:rPr>
        <w:t xml:space="preserve">, TCO, CC, or inspection </w:t>
      </w:r>
      <w:r w:rsidRPr="00D821CC" w:rsidR="00D821CC">
        <w:rPr>
          <w:rFonts w:ascii="Times New Roman" w:hAnsi="Times New Roman" w:cs="Times New Roman"/>
          <w:sz w:val="24"/>
          <w:szCs w:val="24"/>
        </w:rPr>
        <w:t>by the building official.</w:t>
      </w:r>
      <w:r w:rsidR="00D821CC">
        <w:rPr>
          <w:rFonts w:ascii="Times New Roman" w:hAnsi="Times New Roman" w:cs="Times New Roman"/>
          <w:sz w:val="24"/>
          <w:szCs w:val="24"/>
        </w:rPr>
        <w:t xml:space="preserve">  There is ambiguity as to which section of s. 95.11 would apply in this scenario, since the more specific statute, i.e., s. 95.11(3</w:t>
      </w:r>
      <w:proofErr w:type="gramStart"/>
      <w:r w:rsidR="00D821CC">
        <w:rPr>
          <w:rFonts w:ascii="Times New Roman" w:hAnsi="Times New Roman" w:cs="Times New Roman"/>
          <w:sz w:val="24"/>
          <w:szCs w:val="24"/>
        </w:rPr>
        <w:t>)(</w:t>
      </w:r>
      <w:proofErr w:type="gramEnd"/>
      <w:r w:rsidR="00D821CC">
        <w:rPr>
          <w:rFonts w:ascii="Times New Roman" w:hAnsi="Times New Roman" w:cs="Times New Roman"/>
          <w:sz w:val="24"/>
          <w:szCs w:val="24"/>
        </w:rPr>
        <w:t>b) would appear to apply, but its statutory triggers would not be met.</w:t>
      </w:r>
      <w:r w:rsidR="00FD12A5">
        <w:rPr>
          <w:rFonts w:ascii="Times New Roman" w:hAnsi="Times New Roman" w:cs="Times New Roman"/>
          <w:sz w:val="24"/>
          <w:szCs w:val="24"/>
        </w:rPr>
        <w:t xml:space="preserve">  </w:t>
      </w:r>
      <w:r w:rsidR="00FD12A5">
        <w:rPr>
          <w:rFonts w:ascii="Times New Roman" w:hAnsi="Times New Roman" w:cs="Times New Roman"/>
          <w:i/>
          <w:sz w:val="24"/>
          <w:szCs w:val="24"/>
        </w:rPr>
        <w:t>See supra</w:t>
      </w:r>
      <w:r w:rsidR="00FD12A5">
        <w:rPr>
          <w:rFonts w:ascii="Times New Roman" w:hAnsi="Times New Roman" w:cs="Times New Roman"/>
          <w:sz w:val="24"/>
          <w:szCs w:val="24"/>
        </w:rPr>
        <w:t xml:space="preserve">, </w:t>
      </w:r>
      <w:r w:rsidR="003749AD">
        <w:rPr>
          <w:rFonts w:ascii="Times New Roman" w:hAnsi="Times New Roman" w:cs="Times New Roman"/>
          <w:sz w:val="24"/>
          <w:szCs w:val="24"/>
        </w:rPr>
        <w:t>§I</w:t>
      </w:r>
      <w:proofErr w:type="gramStart"/>
      <w:r w:rsidR="003749AD">
        <w:rPr>
          <w:rFonts w:ascii="Times New Roman" w:hAnsi="Times New Roman" w:cs="Times New Roman"/>
          <w:sz w:val="24"/>
          <w:szCs w:val="24"/>
        </w:rPr>
        <w:t>;</w:t>
      </w:r>
      <w:proofErr w:type="gramEnd"/>
      <w:r w:rsidR="003749AD">
        <w:rPr>
          <w:rFonts w:ascii="Times New Roman" w:hAnsi="Times New Roman" w:cs="Times New Roman"/>
          <w:sz w:val="24"/>
          <w:szCs w:val="24"/>
        </w:rPr>
        <w:t xml:space="preserve"> </w:t>
      </w:r>
      <w:r w:rsidR="00FD12A5">
        <w:rPr>
          <w:rFonts w:ascii="Times New Roman" w:hAnsi="Times New Roman" w:cs="Times New Roman"/>
          <w:sz w:val="24"/>
          <w:szCs w:val="24"/>
        </w:rPr>
        <w:t>n. 12.</w:t>
      </w:r>
      <w:r w:rsidR="00D821CC">
        <w:rPr>
          <w:rFonts w:ascii="Times New Roman" w:hAnsi="Times New Roman" w:cs="Times New Roman"/>
          <w:sz w:val="24"/>
          <w:szCs w:val="24"/>
        </w:rPr>
        <w:t xml:space="preserve">  </w:t>
      </w:r>
      <w:r w:rsidR="003749AD">
        <w:rPr>
          <w:rFonts w:ascii="Times New Roman" w:hAnsi="Times New Roman" w:cs="Times New Roman"/>
          <w:sz w:val="24"/>
          <w:szCs w:val="24"/>
        </w:rPr>
        <w:t xml:space="preserve">Such an ambiguity would not be present if the legislature had retained </w:t>
      </w:r>
      <w:r w:rsidR="00D821CC">
        <w:rPr>
          <w:rFonts w:ascii="Times New Roman" w:hAnsi="Times New Roman" w:cs="Times New Roman"/>
          <w:sz w:val="24"/>
          <w:szCs w:val="24"/>
        </w:rPr>
        <w:t xml:space="preserve">“completion of the contract” as a triggering event in </w:t>
      </w:r>
      <w:r w:rsidRPr="00D821CC" w:rsidR="00D821CC">
        <w:rPr>
          <w:rFonts w:ascii="Times New Roman" w:hAnsi="Times New Roman" w:cs="Times New Roman"/>
          <w:sz w:val="24"/>
          <w:szCs w:val="24"/>
        </w:rPr>
        <w:t>Chapter 2023-22, Laws of Florida</w:t>
      </w:r>
      <w:r w:rsidR="00D821CC">
        <w:rPr>
          <w:rFonts w:ascii="Times New Roman" w:hAnsi="Times New Roman" w:cs="Times New Roman"/>
          <w:sz w:val="24"/>
          <w:szCs w:val="24"/>
        </w:rPr>
        <w:t>.</w:t>
      </w:r>
      <w:r w:rsidR="00D821CC">
        <w:rPr>
          <w:rStyle w:val="FootnoteReference"/>
          <w:rFonts w:ascii="Times New Roman" w:hAnsi="Times New Roman" w:cs="Times New Roman"/>
          <w:sz w:val="24"/>
          <w:szCs w:val="24"/>
        </w:rPr>
        <w:footnoteReference w:id="19"/>
      </w:r>
      <w:r w:rsidR="003749AD">
        <w:rPr>
          <w:rFonts w:ascii="Times New Roman" w:hAnsi="Times New Roman" w:cs="Times New Roman"/>
          <w:sz w:val="24"/>
          <w:szCs w:val="24"/>
        </w:rPr>
        <w:t xml:space="preserve">  </w:t>
      </w:r>
      <w:r w:rsidR="00067DC4">
        <w:rPr>
          <w:rFonts w:ascii="Times New Roman" w:hAnsi="Times New Roman" w:cs="Times New Roman"/>
          <w:sz w:val="24"/>
          <w:szCs w:val="24"/>
        </w:rPr>
        <w:t>In 2017</w:t>
      </w:r>
      <w:r w:rsidR="003749AD">
        <w:rPr>
          <w:rFonts w:ascii="Times New Roman" w:hAnsi="Times New Roman" w:cs="Times New Roman"/>
          <w:sz w:val="24"/>
          <w:szCs w:val="24"/>
        </w:rPr>
        <w:t xml:space="preserve">, “completion of the contract” </w:t>
      </w:r>
      <w:proofErr w:type="gramStart"/>
      <w:r w:rsidR="003749AD">
        <w:rPr>
          <w:rFonts w:ascii="Times New Roman" w:hAnsi="Times New Roman" w:cs="Times New Roman"/>
          <w:sz w:val="24"/>
          <w:szCs w:val="24"/>
        </w:rPr>
        <w:t>was defined</w:t>
      </w:r>
      <w:proofErr w:type="gramEnd"/>
      <w:r w:rsidR="003749AD">
        <w:rPr>
          <w:rFonts w:ascii="Times New Roman" w:hAnsi="Times New Roman" w:cs="Times New Roman"/>
          <w:sz w:val="24"/>
          <w:szCs w:val="24"/>
        </w:rPr>
        <w:t xml:space="preserve"> as “</w:t>
      </w:r>
      <w:r w:rsidRPr="00067DC4" w:rsidR="00067DC4">
        <w:rPr>
          <w:rFonts w:ascii="Times New Roman" w:hAnsi="Times New Roman" w:cs="Times New Roman"/>
          <w:sz w:val="24"/>
          <w:szCs w:val="24"/>
        </w:rPr>
        <w:t>the later of the date of final performance of all the contracted services or the date that final payment for such services becomes due without regard to the date final payment is made</w:t>
      </w:r>
      <w:r w:rsidR="00067DC4">
        <w:rPr>
          <w:rFonts w:ascii="Times New Roman" w:hAnsi="Times New Roman" w:cs="Times New Roman"/>
          <w:sz w:val="24"/>
          <w:szCs w:val="24"/>
        </w:rPr>
        <w:t>.”</w:t>
      </w:r>
      <w:r w:rsidR="00067DC4">
        <w:rPr>
          <w:rStyle w:val="FootnoteReference"/>
          <w:rFonts w:ascii="Times New Roman" w:hAnsi="Times New Roman" w:cs="Times New Roman"/>
          <w:sz w:val="24"/>
          <w:szCs w:val="24"/>
        </w:rPr>
        <w:footnoteReference w:id="20"/>
      </w:r>
      <w:r w:rsidR="00067DC4">
        <w:rPr>
          <w:rFonts w:ascii="Times New Roman" w:hAnsi="Times New Roman" w:cs="Times New Roman"/>
          <w:sz w:val="24"/>
          <w:szCs w:val="24"/>
        </w:rPr>
        <w:t xml:space="preserve">  In 2018, the legislature further modified this definition to exclude repair or correction of completed work, to include warranty and other related (i.e., “punch list”) work, performed after issuance of a CO or CC, from extending the limitation and repose periods.</w:t>
      </w:r>
      <w:r w:rsidR="00067DC4">
        <w:rPr>
          <w:rStyle w:val="FootnoteReference"/>
          <w:rFonts w:ascii="Times New Roman" w:hAnsi="Times New Roman" w:cs="Times New Roman"/>
          <w:sz w:val="24"/>
          <w:szCs w:val="24"/>
        </w:rPr>
        <w:footnoteReference w:id="21"/>
      </w:r>
    </w:p>
    <w:p w:rsidRPr="00172333" w:rsidR="00172333" w:rsidP="005D67FE" w:rsidRDefault="00172333" w14:paraId="4D7CDAE0" w14:textId="77777777">
      <w:pPr>
        <w:spacing w:after="0" w:line="240" w:lineRule="auto"/>
        <w:jc w:val="both"/>
        <w:rPr>
          <w:rFonts w:ascii="Times New Roman" w:hAnsi="Times New Roman" w:cs="Times New Roman"/>
          <w:sz w:val="24"/>
          <w:szCs w:val="24"/>
        </w:rPr>
      </w:pPr>
    </w:p>
    <w:p w:rsidRPr="004423E0" w:rsidR="004423E0" w:rsidP="00145748" w:rsidRDefault="007A5440" w14:paraId="49E5AB9A" w14:textId="77777777">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Potentia</w:t>
      </w:r>
      <w:r w:rsidR="006C3ED0">
        <w:rPr>
          <w:rFonts w:ascii="Times New Roman" w:hAnsi="Times New Roman" w:cs="Times New Roman"/>
          <w:b/>
          <w:sz w:val="24"/>
          <w:szCs w:val="24"/>
          <w:u w:val="single"/>
        </w:rPr>
        <w:t>l conflict between s. 95.11(3</w:t>
      </w:r>
      <w:proofErr w:type="gramStart"/>
      <w:r w:rsidR="006C3ED0">
        <w:rPr>
          <w:rFonts w:ascii="Times New Roman" w:hAnsi="Times New Roman" w:cs="Times New Roman"/>
          <w:b/>
          <w:sz w:val="24"/>
          <w:szCs w:val="24"/>
          <w:u w:val="single"/>
        </w:rPr>
        <w:t>)(</w:t>
      </w:r>
      <w:proofErr w:type="gramEnd"/>
      <w:r w:rsidR="006C3ED0">
        <w:rPr>
          <w:rFonts w:ascii="Times New Roman" w:hAnsi="Times New Roman" w:cs="Times New Roman"/>
          <w:b/>
          <w:sz w:val="24"/>
          <w:szCs w:val="24"/>
          <w:u w:val="single"/>
        </w:rPr>
        <w:t>b</w:t>
      </w:r>
      <w:r>
        <w:rPr>
          <w:rFonts w:ascii="Times New Roman" w:hAnsi="Times New Roman" w:cs="Times New Roman"/>
          <w:b/>
          <w:sz w:val="24"/>
          <w:szCs w:val="24"/>
          <w:u w:val="single"/>
        </w:rPr>
        <w:t>) and s. 718.124, Fla. Stats. (2023)</w:t>
      </w:r>
    </w:p>
    <w:p w:rsidR="004423E0" w:rsidP="004423E0" w:rsidRDefault="004423E0" w14:paraId="0AF4FFD3" w14:textId="77777777">
      <w:pPr>
        <w:spacing w:after="0" w:line="240" w:lineRule="auto"/>
        <w:jc w:val="both"/>
        <w:rPr>
          <w:rFonts w:ascii="Times New Roman" w:hAnsi="Times New Roman" w:cs="Times New Roman"/>
          <w:b/>
          <w:sz w:val="24"/>
          <w:szCs w:val="24"/>
        </w:rPr>
      </w:pPr>
    </w:p>
    <w:p w:rsidR="004423E0" w:rsidP="004423E0" w:rsidRDefault="004423E0" w14:paraId="74070310" w14:textId="777777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Condominium law practitioners have pointed to potential</w:t>
      </w:r>
      <w:r w:rsidR="007A5440">
        <w:rPr>
          <w:rFonts w:ascii="Times New Roman" w:hAnsi="Times New Roman" w:cs="Times New Roman"/>
          <w:sz w:val="24"/>
          <w:szCs w:val="24"/>
        </w:rPr>
        <w:t xml:space="preserve"> conflicts and</w:t>
      </w:r>
      <w:r w:rsidR="006C3ED0">
        <w:rPr>
          <w:rFonts w:ascii="Times New Roman" w:hAnsi="Times New Roman" w:cs="Times New Roman"/>
          <w:sz w:val="24"/>
          <w:szCs w:val="24"/>
        </w:rPr>
        <w:t xml:space="preserve"> inequities in s. 95.11(3</w:t>
      </w:r>
      <w:proofErr w:type="gramStart"/>
      <w:r w:rsidR="006C3ED0">
        <w:rPr>
          <w:rFonts w:ascii="Times New Roman" w:hAnsi="Times New Roman" w:cs="Times New Roman"/>
          <w:sz w:val="24"/>
          <w:szCs w:val="24"/>
        </w:rPr>
        <w:t>)(</w:t>
      </w:r>
      <w:proofErr w:type="gramEnd"/>
      <w:r w:rsidR="006C3ED0">
        <w:rPr>
          <w:rFonts w:ascii="Times New Roman" w:hAnsi="Times New Roman" w:cs="Times New Roman"/>
          <w:sz w:val="24"/>
          <w:szCs w:val="24"/>
        </w:rPr>
        <w:t>b</w:t>
      </w:r>
      <w:r>
        <w:rPr>
          <w:rFonts w:ascii="Times New Roman" w:hAnsi="Times New Roman" w:cs="Times New Roman"/>
          <w:sz w:val="24"/>
          <w:szCs w:val="24"/>
        </w:rPr>
        <w:t>), Fla. Stat., where a developer retains control of a condominium association until such time as the statute of repose expires.</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Pr="004423E0">
        <w:rPr>
          <w:rFonts w:ascii="Times New Roman" w:hAnsi="Times New Roman" w:cs="Times New Roman"/>
          <w:sz w:val="24"/>
          <w:szCs w:val="24"/>
        </w:rPr>
        <w:t>Fla. Stat. § 718.301(1)(g)</w:t>
      </w:r>
      <w:r>
        <w:rPr>
          <w:rFonts w:ascii="Times New Roman" w:hAnsi="Times New Roman" w:cs="Times New Roman"/>
          <w:sz w:val="24"/>
          <w:szCs w:val="24"/>
        </w:rPr>
        <w:t xml:space="preserve"> (2023) </w:t>
      </w:r>
      <w:r w:rsidR="007A5440">
        <w:rPr>
          <w:rFonts w:ascii="Times New Roman" w:hAnsi="Times New Roman" w:cs="Times New Roman"/>
          <w:sz w:val="24"/>
          <w:szCs w:val="24"/>
        </w:rPr>
        <w:t>permits a d</w:t>
      </w:r>
      <w:r w:rsidRPr="004423E0">
        <w:rPr>
          <w:rFonts w:ascii="Times New Roman" w:hAnsi="Times New Roman" w:cs="Times New Roman"/>
          <w:sz w:val="24"/>
          <w:szCs w:val="24"/>
        </w:rPr>
        <w:t xml:space="preserve">eveloper </w:t>
      </w:r>
      <w:r w:rsidR="007A5440">
        <w:rPr>
          <w:rFonts w:ascii="Times New Roman" w:hAnsi="Times New Roman" w:cs="Times New Roman"/>
          <w:sz w:val="24"/>
          <w:szCs w:val="24"/>
        </w:rPr>
        <w:t>to</w:t>
      </w:r>
      <w:r w:rsidRPr="004423E0">
        <w:rPr>
          <w:rFonts w:ascii="Times New Roman" w:hAnsi="Times New Roman" w:cs="Times New Roman"/>
          <w:sz w:val="24"/>
          <w:szCs w:val="24"/>
        </w:rPr>
        <w:t xml:space="preserve"> retain control of Association </w:t>
      </w:r>
      <w:r w:rsidR="007A5440">
        <w:rPr>
          <w:rFonts w:ascii="Times New Roman" w:hAnsi="Times New Roman" w:cs="Times New Roman"/>
          <w:sz w:val="24"/>
          <w:szCs w:val="24"/>
        </w:rPr>
        <w:t xml:space="preserve">for </w:t>
      </w:r>
      <w:r w:rsidRPr="004423E0">
        <w:rPr>
          <w:rFonts w:ascii="Times New Roman" w:hAnsi="Times New Roman" w:cs="Times New Roman"/>
          <w:sz w:val="24"/>
          <w:szCs w:val="24"/>
        </w:rPr>
        <w:t xml:space="preserve">up to 7 years following recordation of the certificate of surveyor or mapper accompanying </w:t>
      </w:r>
      <w:r w:rsidR="007A5440">
        <w:rPr>
          <w:rFonts w:ascii="Times New Roman" w:hAnsi="Times New Roman" w:cs="Times New Roman"/>
          <w:sz w:val="24"/>
          <w:szCs w:val="24"/>
        </w:rPr>
        <w:t>d</w:t>
      </w:r>
      <w:r w:rsidRPr="004423E0">
        <w:rPr>
          <w:rFonts w:ascii="Times New Roman" w:hAnsi="Times New Roman" w:cs="Times New Roman"/>
          <w:sz w:val="24"/>
          <w:szCs w:val="24"/>
        </w:rPr>
        <w:t>eclaration</w:t>
      </w:r>
      <w:r w:rsidR="007A5440">
        <w:rPr>
          <w:rFonts w:ascii="Times New Roman" w:hAnsi="Times New Roman" w:cs="Times New Roman"/>
          <w:sz w:val="24"/>
          <w:szCs w:val="24"/>
        </w:rPr>
        <w:t xml:space="preserve"> of condominium.  While a unit-owner controlled association </w:t>
      </w:r>
      <w:r w:rsidR="007A5440">
        <w:rPr>
          <w:rFonts w:ascii="Times New Roman" w:hAnsi="Times New Roman" w:cs="Times New Roman"/>
          <w:sz w:val="24"/>
          <w:szCs w:val="24"/>
        </w:rPr>
        <w:lastRenderedPageBreak/>
        <w:t>controlled has the right to sue for matters of common interest at turnover, e.g., defective construction of the common elements, Chapter 718, Florida Statutes tolls only the statute of limitations, but not the statute of repose, until developer turnover.</w:t>
      </w:r>
      <w:r w:rsidR="00F044DF">
        <w:rPr>
          <w:rStyle w:val="FootnoteReference"/>
          <w:rFonts w:ascii="Times New Roman" w:hAnsi="Times New Roman" w:cs="Times New Roman"/>
          <w:sz w:val="24"/>
          <w:szCs w:val="24"/>
        </w:rPr>
        <w:footnoteReference w:id="23"/>
      </w:r>
      <w:r w:rsidR="007A5440">
        <w:rPr>
          <w:rFonts w:ascii="Times New Roman" w:hAnsi="Times New Roman" w:cs="Times New Roman"/>
          <w:sz w:val="24"/>
          <w:szCs w:val="24"/>
        </w:rPr>
        <w:t xml:space="preserve">  This scenario </w:t>
      </w:r>
      <w:proofErr w:type="gramStart"/>
      <w:r w:rsidR="007A5440">
        <w:rPr>
          <w:rFonts w:ascii="Times New Roman" w:hAnsi="Times New Roman" w:cs="Times New Roman"/>
          <w:sz w:val="24"/>
          <w:szCs w:val="24"/>
        </w:rPr>
        <w:t>is depicted</w:t>
      </w:r>
      <w:proofErr w:type="gramEnd"/>
      <w:r w:rsidR="007A5440">
        <w:rPr>
          <w:rFonts w:ascii="Times New Roman" w:hAnsi="Times New Roman" w:cs="Times New Roman"/>
          <w:sz w:val="24"/>
          <w:szCs w:val="24"/>
        </w:rPr>
        <w:t xml:space="preserve"> below.</w:t>
      </w:r>
      <w:r w:rsidR="007A5440">
        <w:rPr>
          <w:rStyle w:val="FootnoteReference"/>
          <w:rFonts w:ascii="Times New Roman" w:hAnsi="Times New Roman" w:cs="Times New Roman"/>
          <w:sz w:val="24"/>
          <w:szCs w:val="24"/>
        </w:rPr>
        <w:footnoteReference w:id="24"/>
      </w:r>
    </w:p>
    <w:p w:rsidR="007A5440" w:rsidP="007A5440" w:rsidRDefault="007A5440" w14:paraId="4C0D6C9B" w14:textId="77777777">
      <w:pPr>
        <w:spacing w:after="0" w:line="240" w:lineRule="auto"/>
        <w:jc w:val="both"/>
        <w:rPr>
          <w:rFonts w:ascii="Times New Roman" w:hAnsi="Times New Roman" w:cs="Times New Roman"/>
          <w:sz w:val="24"/>
          <w:szCs w:val="24"/>
        </w:rPr>
      </w:pPr>
    </w:p>
    <w:p w:rsidR="007A5440" w:rsidP="007A5440" w:rsidRDefault="007A5440" w14:paraId="3A0C5073" w14:textId="7777777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669B42" wp14:editId="635EF1B1">
            <wp:extent cx="5936615" cy="569595"/>
            <wp:effectExtent l="0" t="0" r="6985" b="1905"/>
            <wp:docPr id="2"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6615" cy="569595"/>
                    </a:xfrm>
                    <a:prstGeom prst="rect">
                      <a:avLst/>
                    </a:prstGeom>
                    <a:noFill/>
                    <a:ln>
                      <a:noFill/>
                    </a:ln>
                  </pic:spPr>
                </pic:pic>
              </a:graphicData>
            </a:graphic>
          </wp:inline>
        </w:drawing>
      </w:r>
    </w:p>
    <w:p w:rsidR="000367D8" w:rsidP="007A481B" w:rsidRDefault="000367D8" w14:paraId="057712F7" w14:textId="77777777">
      <w:pPr>
        <w:spacing w:after="0" w:line="240" w:lineRule="auto"/>
        <w:jc w:val="both"/>
        <w:rPr>
          <w:rFonts w:ascii="Times New Roman" w:hAnsi="Times New Roman" w:cs="Times New Roman"/>
          <w:b/>
          <w:sz w:val="24"/>
          <w:szCs w:val="24"/>
        </w:rPr>
      </w:pPr>
    </w:p>
    <w:p w:rsidR="007A481B" w:rsidP="007A481B" w:rsidRDefault="007A481B" w14:paraId="441F3046" w14:textId="5790D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Any revision to </w:t>
      </w:r>
      <w:r w:rsidRPr="007A5440">
        <w:rPr>
          <w:rFonts w:ascii="Times New Roman" w:hAnsi="Times New Roman" w:cs="Times New Roman"/>
          <w:sz w:val="24"/>
          <w:szCs w:val="24"/>
        </w:rPr>
        <w:t>Fla. Stat. § 718.124</w:t>
      </w:r>
      <w:r>
        <w:rPr>
          <w:rFonts w:ascii="Times New Roman" w:hAnsi="Times New Roman" w:cs="Times New Roman"/>
          <w:sz w:val="24"/>
          <w:szCs w:val="24"/>
        </w:rPr>
        <w:t xml:space="preserve"> (2023) which would allow for statutory tolling of the repose period would have the practical impact of lengthening the statute of repose period, which was shortened from 10 to 7 years in 2023.  Because this shortening was the product of lobbying by the commercial construction industry, and </w:t>
      </w:r>
      <w:proofErr w:type="gramStart"/>
      <w:r>
        <w:rPr>
          <w:rFonts w:ascii="Times New Roman" w:hAnsi="Times New Roman" w:cs="Times New Roman"/>
          <w:sz w:val="24"/>
          <w:szCs w:val="24"/>
        </w:rPr>
        <w:t>was met</w:t>
      </w:r>
      <w:proofErr w:type="gramEnd"/>
      <w:r>
        <w:rPr>
          <w:rFonts w:ascii="Times New Roman" w:hAnsi="Times New Roman" w:cs="Times New Roman"/>
          <w:sz w:val="24"/>
          <w:szCs w:val="24"/>
        </w:rPr>
        <w:t xml:space="preserve"> with opposition by the community association and Plaintiff’s bar, it </w:t>
      </w:r>
      <w:r w:rsidR="0077100E">
        <w:rPr>
          <w:rFonts w:ascii="Times New Roman" w:hAnsi="Times New Roman" w:cs="Times New Roman"/>
          <w:sz w:val="24"/>
          <w:szCs w:val="24"/>
        </w:rPr>
        <w:t>is unlikely</w:t>
      </w:r>
      <w:r>
        <w:rPr>
          <w:rFonts w:ascii="Times New Roman" w:hAnsi="Times New Roman" w:cs="Times New Roman"/>
          <w:sz w:val="24"/>
          <w:szCs w:val="24"/>
        </w:rPr>
        <w:t xml:space="preserve"> that the CLC would be able to take a position on any such revision.</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rsidRPr="007A481B" w:rsidR="007A481B" w:rsidP="007A481B" w:rsidRDefault="007A481B" w14:paraId="7B8BBD26" w14:textId="77777777">
      <w:pPr>
        <w:spacing w:after="0" w:line="240" w:lineRule="auto"/>
        <w:jc w:val="both"/>
        <w:rPr>
          <w:rFonts w:ascii="Times New Roman" w:hAnsi="Times New Roman" w:cs="Times New Roman"/>
          <w:sz w:val="24"/>
          <w:szCs w:val="24"/>
        </w:rPr>
      </w:pPr>
    </w:p>
    <w:p w:rsidRPr="00DE7405" w:rsidR="00145748" w:rsidP="00145748" w:rsidRDefault="00145748" w14:paraId="3AE46533" w14:textId="77777777">
      <w:pPr>
        <w:pStyle w:val="ListParagraph"/>
        <w:numPr>
          <w:ilvl w:val="1"/>
          <w:numId w:val="1"/>
        </w:numPr>
        <w:spacing w:after="0" w:line="240" w:lineRule="auto"/>
        <w:jc w:val="both"/>
        <w:rPr>
          <w:rFonts w:ascii="Times New Roman" w:hAnsi="Times New Roman" w:cs="Times New Roman"/>
          <w:b/>
          <w:sz w:val="24"/>
          <w:szCs w:val="24"/>
        </w:rPr>
      </w:pPr>
      <w:r w:rsidRPr="00DE7405">
        <w:rPr>
          <w:rFonts w:ascii="Times New Roman" w:hAnsi="Times New Roman" w:cs="Times New Roman"/>
          <w:b/>
          <w:sz w:val="24"/>
          <w:szCs w:val="24"/>
          <w:u w:val="single"/>
        </w:rPr>
        <w:t>Comment, review and approval by the Construction Law Committee</w:t>
      </w:r>
    </w:p>
    <w:p w:rsidR="00145748" w:rsidP="00145748" w:rsidRDefault="00145748" w14:paraId="670B1BE2" w14:textId="77777777">
      <w:pPr>
        <w:spacing w:after="0" w:line="240" w:lineRule="auto"/>
        <w:jc w:val="both"/>
        <w:rPr>
          <w:rFonts w:ascii="Times New Roman" w:hAnsi="Times New Roman" w:cs="Times New Roman"/>
          <w:sz w:val="24"/>
          <w:szCs w:val="24"/>
        </w:rPr>
      </w:pPr>
    </w:p>
    <w:p w:rsidR="00145748" w:rsidP="00960048" w:rsidRDefault="000B3F17" w14:paraId="2F5F23B8" w14:textId="0099EFE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 noted above</w:t>
      </w:r>
      <w:r w:rsidRPr="000B3F17" w:rsidR="00A50760">
        <w:rPr>
          <w:rFonts w:ascii="Times New Roman" w:hAnsi="Times New Roman" w:cs="Times New Roman"/>
          <w:sz w:val="24"/>
          <w:szCs w:val="24"/>
        </w:rPr>
        <w:t>,</w:t>
      </w:r>
      <w:r>
        <w:rPr>
          <w:rFonts w:ascii="Times New Roman" w:hAnsi="Times New Roman" w:cs="Times New Roman"/>
          <w:sz w:val="24"/>
          <w:szCs w:val="24"/>
        </w:rPr>
        <w:t xml:space="preserve"> </w:t>
      </w:r>
      <w:r w:rsidR="00502584">
        <w:rPr>
          <w:rFonts w:ascii="Times New Roman" w:hAnsi="Times New Roman" w:cs="Times New Roman"/>
          <w:sz w:val="24"/>
          <w:szCs w:val="24"/>
        </w:rPr>
        <w:t xml:space="preserve">the </w:t>
      </w:r>
      <w:r>
        <w:rPr>
          <w:rFonts w:ascii="Times New Roman" w:hAnsi="Times New Roman" w:cs="Times New Roman"/>
          <w:sz w:val="24"/>
          <w:szCs w:val="24"/>
        </w:rPr>
        <w:t xml:space="preserve">CLC </w:t>
      </w:r>
      <w:r w:rsidR="00502584">
        <w:rPr>
          <w:rFonts w:ascii="Times New Roman" w:hAnsi="Times New Roman" w:cs="Times New Roman"/>
          <w:sz w:val="24"/>
          <w:szCs w:val="24"/>
        </w:rPr>
        <w:t>has</w:t>
      </w:r>
      <w:r>
        <w:rPr>
          <w:rFonts w:ascii="Times New Roman" w:hAnsi="Times New Roman" w:cs="Times New Roman"/>
          <w:sz w:val="24"/>
          <w:szCs w:val="24"/>
        </w:rPr>
        <w:t xml:space="preserve"> presented on the shortcomings of s. </w:t>
      </w:r>
      <w:r w:rsidRPr="000B3F17">
        <w:rPr>
          <w:rFonts w:ascii="Times New Roman" w:hAnsi="Times New Roman" w:cs="Times New Roman"/>
          <w:sz w:val="24"/>
          <w:szCs w:val="24"/>
        </w:rPr>
        <w:t>95.11(3</w:t>
      </w:r>
      <w:proofErr w:type="gramStart"/>
      <w:r w:rsidRPr="000B3F17">
        <w:rPr>
          <w:rFonts w:ascii="Times New Roman" w:hAnsi="Times New Roman" w:cs="Times New Roman"/>
          <w:sz w:val="24"/>
          <w:szCs w:val="24"/>
        </w:rPr>
        <w:t>)(</w:t>
      </w:r>
      <w:proofErr w:type="gramEnd"/>
      <w:r w:rsidR="006C3ED0">
        <w:rPr>
          <w:rFonts w:ascii="Times New Roman" w:hAnsi="Times New Roman" w:cs="Times New Roman"/>
          <w:sz w:val="24"/>
          <w:szCs w:val="24"/>
        </w:rPr>
        <w:t>b</w:t>
      </w:r>
      <w:r w:rsidRPr="000B3F17">
        <w:rPr>
          <w:rFonts w:ascii="Times New Roman" w:hAnsi="Times New Roman" w:cs="Times New Roman"/>
          <w:sz w:val="24"/>
          <w:szCs w:val="24"/>
        </w:rPr>
        <w:t>), Fla. Stat.</w:t>
      </w:r>
      <w:r w:rsidR="00502584">
        <w:rPr>
          <w:rFonts w:ascii="Times New Roman" w:hAnsi="Times New Roman" w:cs="Times New Roman"/>
          <w:sz w:val="24"/>
          <w:szCs w:val="24"/>
        </w:rPr>
        <w:t xml:space="preserve"> in a variety of forums, to both CLC and RPPTL membership.  </w:t>
      </w:r>
      <w:r w:rsidR="00502584">
        <w:rPr>
          <w:rFonts w:ascii="Times New Roman" w:hAnsi="Times New Roman" w:cs="Times New Roman"/>
          <w:i/>
          <w:sz w:val="24"/>
          <w:szCs w:val="24"/>
        </w:rPr>
        <w:t xml:space="preserve">See </w:t>
      </w:r>
      <w:r w:rsidRPr="004423E0" w:rsidR="00502584">
        <w:rPr>
          <w:rFonts w:ascii="Times New Roman" w:hAnsi="Times New Roman" w:cs="Times New Roman"/>
          <w:i/>
          <w:sz w:val="24"/>
          <w:szCs w:val="24"/>
        </w:rPr>
        <w:t>infra</w:t>
      </w:r>
      <w:r w:rsidR="00502584">
        <w:rPr>
          <w:rFonts w:ascii="Times New Roman" w:hAnsi="Times New Roman" w:cs="Times New Roman"/>
          <w:sz w:val="24"/>
          <w:szCs w:val="24"/>
        </w:rPr>
        <w:t xml:space="preserve">, §II(c)-(d).  </w:t>
      </w:r>
      <w:r>
        <w:rPr>
          <w:rFonts w:ascii="Times New Roman" w:hAnsi="Times New Roman" w:cs="Times New Roman"/>
          <w:sz w:val="24"/>
          <w:szCs w:val="24"/>
        </w:rPr>
        <w:t>In response,</w:t>
      </w:r>
      <w:r w:rsidRPr="000B3F17" w:rsidR="00A50760">
        <w:rPr>
          <w:rFonts w:ascii="Times New Roman" w:hAnsi="Times New Roman" w:cs="Times New Roman"/>
          <w:sz w:val="24"/>
          <w:szCs w:val="24"/>
        </w:rPr>
        <w:t xml:space="preserve"> the CLC has received member concerns regardin</w:t>
      </w:r>
      <w:r w:rsidRPr="000B3F17" w:rsidR="005D67FE">
        <w:rPr>
          <w:rFonts w:ascii="Times New Roman" w:hAnsi="Times New Roman" w:cs="Times New Roman"/>
          <w:sz w:val="24"/>
          <w:szCs w:val="24"/>
        </w:rPr>
        <w:t>g the ambiguities referenced above.</w:t>
      </w:r>
      <w:r w:rsidR="00960048">
        <w:rPr>
          <w:rFonts w:ascii="Times New Roman" w:hAnsi="Times New Roman" w:cs="Times New Roman"/>
          <w:sz w:val="24"/>
          <w:szCs w:val="24"/>
        </w:rPr>
        <w:t xml:space="preserve">  Beginning in March 2024, the CLC Legislative Subcommittee studied, met and conferred regarding this white paper and proposed bill, and ultimately approved both at its May 9, 2024 subcommittee meeting.  This white paper and proposed bill received full approval at the Construction Law Committee meeting held on May 13, 2024.</w:t>
      </w:r>
    </w:p>
    <w:p w:rsidRPr="00145748" w:rsidR="000367D8" w:rsidP="00145748" w:rsidRDefault="000367D8" w14:paraId="6FEA1080" w14:textId="77777777">
      <w:pPr>
        <w:spacing w:after="0" w:line="240" w:lineRule="auto"/>
        <w:jc w:val="both"/>
        <w:rPr>
          <w:rFonts w:ascii="Times New Roman" w:hAnsi="Times New Roman" w:cs="Times New Roman"/>
          <w:sz w:val="24"/>
          <w:szCs w:val="24"/>
        </w:rPr>
      </w:pPr>
    </w:p>
    <w:p w:rsidRPr="007A481B" w:rsidR="00B2378D" w:rsidP="00B2378D" w:rsidRDefault="00B2378D" w14:paraId="0187E35C" w14:textId="77777777">
      <w:pPr>
        <w:pStyle w:val="ListParagraph"/>
        <w:numPr>
          <w:ilvl w:val="0"/>
          <w:numId w:val="1"/>
        </w:numPr>
        <w:spacing w:after="0" w:line="240" w:lineRule="auto"/>
        <w:jc w:val="both"/>
        <w:rPr>
          <w:rFonts w:ascii="Times New Roman" w:hAnsi="Times New Roman" w:cs="Times New Roman"/>
          <w:b/>
          <w:sz w:val="24"/>
          <w:szCs w:val="24"/>
        </w:rPr>
      </w:pPr>
      <w:r w:rsidRPr="007A481B">
        <w:rPr>
          <w:rFonts w:ascii="Times New Roman" w:hAnsi="Times New Roman" w:cs="Times New Roman"/>
          <w:b/>
          <w:sz w:val="24"/>
          <w:szCs w:val="24"/>
        </w:rPr>
        <w:t>EFFECT OF PROPOSED CHANGES</w:t>
      </w:r>
    </w:p>
    <w:p w:rsidR="00B2378D" w:rsidP="00B2378D" w:rsidRDefault="00B2378D" w14:paraId="5529E06A" w14:textId="77777777">
      <w:pPr>
        <w:spacing w:after="0" w:line="240" w:lineRule="auto"/>
        <w:jc w:val="both"/>
        <w:rPr>
          <w:rFonts w:ascii="Times New Roman" w:hAnsi="Times New Roman" w:cs="Times New Roman"/>
          <w:sz w:val="24"/>
          <w:szCs w:val="24"/>
        </w:rPr>
      </w:pPr>
    </w:p>
    <w:p w:rsidR="006C3ED0" w:rsidP="006C3ED0" w:rsidRDefault="001B01B5" w14:paraId="429331DA" w14:textId="3726159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D60F1A">
        <w:rPr>
          <w:rFonts w:ascii="Times New Roman" w:hAnsi="Times New Roman" w:cs="Times New Roman"/>
          <w:sz w:val="24"/>
          <w:szCs w:val="24"/>
        </w:rPr>
        <w:t>he proposed bill</w:t>
      </w:r>
      <w:r w:rsidR="00393446">
        <w:rPr>
          <w:rFonts w:ascii="Times New Roman" w:hAnsi="Times New Roman" w:cs="Times New Roman"/>
          <w:sz w:val="24"/>
          <w:szCs w:val="24"/>
        </w:rPr>
        <w:t xml:space="preserve"> aims to capture the entire universe of actions that </w:t>
      </w:r>
      <w:proofErr w:type="gramStart"/>
      <w:r>
        <w:rPr>
          <w:rFonts w:ascii="Times New Roman" w:hAnsi="Times New Roman" w:cs="Times New Roman"/>
          <w:sz w:val="24"/>
          <w:szCs w:val="24"/>
        </w:rPr>
        <w:t>are</w:t>
      </w:r>
      <w:r w:rsidR="00393446">
        <w:rPr>
          <w:rFonts w:ascii="Times New Roman" w:hAnsi="Times New Roman" w:cs="Times New Roman"/>
          <w:sz w:val="24"/>
          <w:szCs w:val="24"/>
        </w:rPr>
        <w:t xml:space="preserve"> founded</w:t>
      </w:r>
      <w:proofErr w:type="gramEnd"/>
      <w:r w:rsidR="00393446">
        <w:rPr>
          <w:rFonts w:ascii="Times New Roman" w:hAnsi="Times New Roman" w:cs="Times New Roman"/>
          <w:sz w:val="24"/>
          <w:szCs w:val="24"/>
        </w:rPr>
        <w:t xml:space="preserve"> on the design, planning, or construction of </w:t>
      </w:r>
      <w:r w:rsidR="00D60F1A">
        <w:rPr>
          <w:rFonts w:ascii="Times New Roman" w:hAnsi="Times New Roman" w:cs="Times New Roman"/>
          <w:sz w:val="24"/>
          <w:szCs w:val="24"/>
        </w:rPr>
        <w:t>an improvement to real property</w:t>
      </w:r>
      <w:r w:rsidR="000750C2">
        <w:rPr>
          <w:rFonts w:ascii="Times New Roman" w:hAnsi="Times New Roman" w:cs="Times New Roman"/>
          <w:sz w:val="24"/>
          <w:szCs w:val="24"/>
        </w:rPr>
        <w:t>, by including a comprehensive definition of “</w:t>
      </w:r>
      <w:r w:rsidR="00002163">
        <w:rPr>
          <w:rFonts w:ascii="Times New Roman" w:hAnsi="Times New Roman" w:cs="Times New Roman"/>
          <w:sz w:val="24"/>
          <w:szCs w:val="24"/>
        </w:rPr>
        <w:t>completion of the improvement.</w:t>
      </w:r>
      <w:r w:rsidR="000750C2">
        <w:rPr>
          <w:rFonts w:ascii="Times New Roman" w:hAnsi="Times New Roman" w:cs="Times New Roman"/>
          <w:sz w:val="24"/>
          <w:szCs w:val="24"/>
        </w:rPr>
        <w:t>”</w:t>
      </w:r>
      <w:r w:rsidR="00002163">
        <w:rPr>
          <w:rStyle w:val="FootnoteReference"/>
          <w:rFonts w:ascii="Times New Roman" w:hAnsi="Times New Roman" w:cs="Times New Roman"/>
          <w:sz w:val="24"/>
          <w:szCs w:val="24"/>
        </w:rPr>
        <w:footnoteReference w:id="26"/>
      </w:r>
      <w:r w:rsidR="00D60F1A">
        <w:rPr>
          <w:rFonts w:ascii="Times New Roman" w:hAnsi="Times New Roman" w:cs="Times New Roman"/>
          <w:sz w:val="24"/>
          <w:szCs w:val="24"/>
        </w:rPr>
        <w:t xml:space="preserve">  It does so by distinguishing </w:t>
      </w:r>
      <w:r w:rsidR="00D60F1A">
        <w:rPr>
          <w:rFonts w:ascii="Times New Roman" w:hAnsi="Times New Roman" w:cs="Times New Roman"/>
          <w:sz w:val="24"/>
          <w:szCs w:val="24"/>
        </w:rPr>
        <w:lastRenderedPageBreak/>
        <w:t>between those improvements that are subject to a TCO or CO, as opposed to a CC or building in</w:t>
      </w:r>
      <w:r w:rsidR="00002163">
        <w:rPr>
          <w:rFonts w:ascii="Times New Roman" w:hAnsi="Times New Roman" w:cs="Times New Roman"/>
          <w:sz w:val="24"/>
          <w:szCs w:val="24"/>
        </w:rPr>
        <w:t>spection approval only.  It adds</w:t>
      </w:r>
      <w:r w:rsidR="00D60F1A">
        <w:rPr>
          <w:rFonts w:ascii="Times New Roman" w:hAnsi="Times New Roman" w:cs="Times New Roman"/>
          <w:sz w:val="24"/>
          <w:szCs w:val="24"/>
        </w:rPr>
        <w:t xml:space="preserve"> an additional category of “final acceptance” intended to cover horizontal improvements.  </w:t>
      </w:r>
      <w:proofErr w:type="gramStart"/>
      <w:r w:rsidR="00002163">
        <w:rPr>
          <w:rFonts w:ascii="Times New Roman" w:hAnsi="Times New Roman" w:cs="Times New Roman"/>
          <w:sz w:val="24"/>
          <w:szCs w:val="24"/>
        </w:rPr>
        <w:t>Also</w:t>
      </w:r>
      <w:proofErr w:type="gramEnd"/>
      <w:r w:rsidR="00002163">
        <w:rPr>
          <w:rFonts w:ascii="Times New Roman" w:hAnsi="Times New Roman" w:cs="Times New Roman"/>
          <w:sz w:val="24"/>
          <w:szCs w:val="24"/>
        </w:rPr>
        <w:t>, i</w:t>
      </w:r>
      <w:r w:rsidR="00D60F1A">
        <w:rPr>
          <w:rFonts w:ascii="Times New Roman" w:hAnsi="Times New Roman" w:cs="Times New Roman"/>
          <w:sz w:val="24"/>
          <w:szCs w:val="24"/>
        </w:rPr>
        <w:t>t seeks to limit the statutory triggers of “abandonment” or “termination,” as applying only to the construction party who abandons the project or is terminated, to avoid the apparent unintended consequence of premature statutory triggering.  Finally, it reintegrates the statutory definition of “contract completion,” using the Florida legislature’s 2017 and 2018 definitions and accompanying case law, to serve as a</w:t>
      </w:r>
      <w:r w:rsidR="008112BA">
        <w:rPr>
          <w:rFonts w:ascii="Times New Roman" w:hAnsi="Times New Roman" w:cs="Times New Roman"/>
          <w:sz w:val="24"/>
          <w:szCs w:val="24"/>
        </w:rPr>
        <w:t xml:space="preserve"> “catch-all” category for such </w:t>
      </w:r>
      <w:r w:rsidR="00D60F1A">
        <w:rPr>
          <w:rFonts w:ascii="Times New Roman" w:hAnsi="Times New Roman" w:cs="Times New Roman"/>
          <w:sz w:val="24"/>
          <w:szCs w:val="24"/>
        </w:rPr>
        <w:t xml:space="preserve">actions that meet the definition of an improvement to real property, but are not covered by the </w:t>
      </w:r>
      <w:proofErr w:type="gramStart"/>
      <w:r w:rsidR="00D60F1A">
        <w:rPr>
          <w:rFonts w:ascii="Times New Roman" w:hAnsi="Times New Roman" w:cs="Times New Roman"/>
          <w:sz w:val="24"/>
          <w:szCs w:val="24"/>
        </w:rPr>
        <w:t>mo</w:t>
      </w:r>
      <w:r w:rsidR="00002163">
        <w:rPr>
          <w:rFonts w:ascii="Times New Roman" w:hAnsi="Times New Roman" w:cs="Times New Roman"/>
          <w:sz w:val="24"/>
          <w:szCs w:val="24"/>
        </w:rPr>
        <w:t xml:space="preserve">re </w:t>
      </w:r>
      <w:r w:rsidR="00960048">
        <w:rPr>
          <w:rFonts w:ascii="Times New Roman" w:hAnsi="Times New Roman" w:cs="Times New Roman"/>
          <w:sz w:val="24"/>
          <w:szCs w:val="24"/>
        </w:rPr>
        <w:t>discrete</w:t>
      </w:r>
      <w:proofErr w:type="gramEnd"/>
      <w:r w:rsidR="00002163">
        <w:rPr>
          <w:rFonts w:ascii="Times New Roman" w:hAnsi="Times New Roman" w:cs="Times New Roman"/>
          <w:sz w:val="24"/>
          <w:szCs w:val="24"/>
        </w:rPr>
        <w:t xml:space="preserve"> statutory triggers.  The revised statutory triggers set forth below.</w:t>
      </w:r>
    </w:p>
    <w:p w:rsidR="00393446" w:rsidP="006C3ED0" w:rsidRDefault="00393446" w14:paraId="23EC5A5A" w14:textId="77777777">
      <w:pPr>
        <w:spacing w:after="0" w:line="240" w:lineRule="auto"/>
        <w:ind w:firstLine="720"/>
        <w:jc w:val="both"/>
        <w:rPr>
          <w:rFonts w:ascii="Times New Roman" w:hAnsi="Times New Roman" w:cs="Times New Roman"/>
          <w:sz w:val="24"/>
          <w:szCs w:val="24"/>
        </w:rPr>
      </w:pPr>
    </w:p>
    <w:p w:rsidR="000750C2" w:rsidP="00393446" w:rsidRDefault="00002163" w14:paraId="4A9E5013" w14:textId="7FBF2B1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Foremost, b</w:t>
      </w:r>
      <w:r w:rsidR="000750C2">
        <w:rPr>
          <w:rFonts w:ascii="Times New Roman" w:hAnsi="Times New Roman" w:cs="Times New Roman"/>
          <w:sz w:val="24"/>
          <w:szCs w:val="24"/>
        </w:rPr>
        <w:t>ased upon “completion of the improvement,” which is defined as:</w:t>
      </w:r>
    </w:p>
    <w:p w:rsidR="000750C2" w:rsidP="000750C2" w:rsidRDefault="000750C2" w14:paraId="6EBC4121" w14:textId="77777777">
      <w:pPr>
        <w:pStyle w:val="ListParagraph"/>
        <w:spacing w:after="0" w:line="240" w:lineRule="auto"/>
        <w:ind w:left="1440"/>
        <w:jc w:val="both"/>
        <w:rPr>
          <w:rFonts w:ascii="Times New Roman" w:hAnsi="Times New Roman" w:cs="Times New Roman"/>
          <w:sz w:val="24"/>
          <w:szCs w:val="24"/>
        </w:rPr>
      </w:pPr>
    </w:p>
    <w:p w:rsidR="00393446" w:rsidP="000750C2" w:rsidRDefault="000750C2" w14:paraId="3D530696" w14:textId="6129A483">
      <w:pPr>
        <w:pStyle w:val="ListParagraph"/>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date</w:t>
      </w:r>
      <w:r w:rsidRPr="00393446" w:rsidR="00393446">
        <w:rPr>
          <w:rFonts w:ascii="Times New Roman" w:hAnsi="Times New Roman" w:cs="Times New Roman"/>
          <w:sz w:val="24"/>
          <w:szCs w:val="24"/>
        </w:rPr>
        <w:t xml:space="preserve"> in which the authority having jurisdiction issue</w:t>
      </w:r>
      <w:r>
        <w:rPr>
          <w:rFonts w:ascii="Times New Roman" w:hAnsi="Times New Roman" w:cs="Times New Roman"/>
          <w:sz w:val="24"/>
          <w:szCs w:val="24"/>
        </w:rPr>
        <w:t>s</w:t>
      </w:r>
      <w:r w:rsidRPr="00393446" w:rsidR="00393446">
        <w:rPr>
          <w:rFonts w:ascii="Times New Roman" w:hAnsi="Times New Roman" w:cs="Times New Roman"/>
          <w:sz w:val="24"/>
          <w:szCs w:val="24"/>
        </w:rPr>
        <w:t xml:space="preserve"> a temporary certificate of occupancy or certificate of occupancy, whichever date is earliest; </w:t>
      </w:r>
    </w:p>
    <w:p w:rsidRPr="00393446" w:rsidR="00393446" w:rsidP="00393446" w:rsidRDefault="00393446" w14:paraId="353084CE" w14:textId="77777777">
      <w:pPr>
        <w:pStyle w:val="ListParagraph"/>
        <w:spacing w:after="0" w:line="240" w:lineRule="auto"/>
        <w:ind w:left="1440"/>
        <w:jc w:val="both"/>
        <w:rPr>
          <w:rFonts w:ascii="Times New Roman" w:hAnsi="Times New Roman" w:cs="Times New Roman"/>
          <w:sz w:val="24"/>
          <w:szCs w:val="24"/>
        </w:rPr>
      </w:pPr>
    </w:p>
    <w:p w:rsidR="001B01B5" w:rsidP="000750C2" w:rsidRDefault="00393446" w14:paraId="2163A449" w14:textId="6B88DE3F">
      <w:pPr>
        <w:pStyle w:val="ListParagraph"/>
        <w:numPr>
          <w:ilvl w:val="1"/>
          <w:numId w:val="7"/>
        </w:numPr>
        <w:spacing w:after="0" w:line="240" w:lineRule="auto"/>
        <w:jc w:val="both"/>
        <w:rPr>
          <w:rFonts w:ascii="Times New Roman" w:hAnsi="Times New Roman" w:cs="Times New Roman"/>
          <w:sz w:val="24"/>
          <w:szCs w:val="24"/>
        </w:rPr>
      </w:pPr>
      <w:r w:rsidRPr="00393446">
        <w:rPr>
          <w:rFonts w:ascii="Times New Roman" w:hAnsi="Times New Roman" w:cs="Times New Roman"/>
          <w:sz w:val="24"/>
          <w:szCs w:val="24"/>
        </w:rPr>
        <w:t xml:space="preserve">for an improvement in which the improvement is required to comply with the Florida Building Code, but the authority having jurisdiction is not required to issue </w:t>
      </w:r>
      <w:r w:rsidR="000750C2">
        <w:rPr>
          <w:rFonts w:ascii="Times New Roman" w:hAnsi="Times New Roman" w:cs="Times New Roman"/>
          <w:sz w:val="24"/>
          <w:szCs w:val="24"/>
        </w:rPr>
        <w:t xml:space="preserve">a certificate of occupancy, </w:t>
      </w:r>
      <w:r w:rsidRPr="00393446">
        <w:rPr>
          <w:rFonts w:ascii="Times New Roman" w:hAnsi="Times New Roman" w:cs="Times New Roman"/>
          <w:sz w:val="24"/>
          <w:szCs w:val="24"/>
        </w:rPr>
        <w:t xml:space="preserve">completion of all required inspections under the Florida Building Code, or issuance of a Certificate of Completion, whichever date is earliest; </w:t>
      </w:r>
    </w:p>
    <w:p w:rsidRPr="001B01B5" w:rsidR="001B01B5" w:rsidP="001B01B5" w:rsidRDefault="001B01B5" w14:paraId="06A24902" w14:textId="77777777">
      <w:pPr>
        <w:pStyle w:val="ListParagraph"/>
        <w:rPr>
          <w:rFonts w:ascii="Times New Roman" w:hAnsi="Times New Roman" w:cs="Times New Roman"/>
          <w:sz w:val="24"/>
          <w:szCs w:val="24"/>
        </w:rPr>
      </w:pPr>
    </w:p>
    <w:p w:rsidR="001B01B5" w:rsidP="000750C2" w:rsidRDefault="00393446" w14:paraId="1AD785F4" w14:textId="77777777">
      <w:pPr>
        <w:pStyle w:val="ListParagraph"/>
        <w:numPr>
          <w:ilvl w:val="1"/>
          <w:numId w:val="7"/>
        </w:numPr>
        <w:spacing w:after="0" w:line="240" w:lineRule="auto"/>
        <w:jc w:val="both"/>
        <w:rPr>
          <w:rFonts w:ascii="Times New Roman" w:hAnsi="Times New Roman" w:cs="Times New Roman"/>
          <w:sz w:val="24"/>
          <w:szCs w:val="24"/>
        </w:rPr>
      </w:pPr>
      <w:r w:rsidRPr="00393446">
        <w:rPr>
          <w:rFonts w:ascii="Times New Roman" w:hAnsi="Times New Roman" w:cs="Times New Roman"/>
          <w:sz w:val="24"/>
          <w:szCs w:val="24"/>
        </w:rPr>
        <w:t xml:space="preserve">for an improvement made pursuant to Title XXVI, Florida Statutes, final acceptance, as defined by Section 337.185(c), Florida Statutes; </w:t>
      </w:r>
    </w:p>
    <w:p w:rsidRPr="001B01B5" w:rsidR="001B01B5" w:rsidP="001B01B5" w:rsidRDefault="001B01B5" w14:paraId="593AAC45" w14:textId="77777777">
      <w:pPr>
        <w:pStyle w:val="ListParagraph"/>
        <w:rPr>
          <w:rFonts w:ascii="Times New Roman" w:hAnsi="Times New Roman" w:cs="Times New Roman"/>
          <w:sz w:val="24"/>
          <w:szCs w:val="24"/>
        </w:rPr>
      </w:pPr>
    </w:p>
    <w:p w:rsidR="00393446" w:rsidP="00960048" w:rsidRDefault="00002163" w14:paraId="3AEFA99C" w14:textId="6F70F0C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these do not apply, then </w:t>
      </w:r>
      <w:r w:rsidRPr="00393446" w:rsidR="00393446">
        <w:rPr>
          <w:rFonts w:ascii="Times New Roman" w:hAnsi="Times New Roman" w:cs="Times New Roman"/>
          <w:sz w:val="24"/>
          <w:szCs w:val="24"/>
        </w:rPr>
        <w:t xml:space="preserve">the date of abandonment of construction if not completed, or the date of termination of the contract between the </w:t>
      </w:r>
      <w:r w:rsidRPr="00960048" w:rsidR="00960048">
        <w:rPr>
          <w:rFonts w:ascii="Times New Roman" w:hAnsi="Times New Roman" w:cs="Times New Roman"/>
          <w:sz w:val="24"/>
          <w:szCs w:val="24"/>
        </w:rPr>
        <w:t>architect, landscape architect, interi</w:t>
      </w:r>
      <w:r w:rsidR="00960048">
        <w:rPr>
          <w:rFonts w:ascii="Times New Roman" w:hAnsi="Times New Roman" w:cs="Times New Roman"/>
          <w:sz w:val="24"/>
          <w:szCs w:val="24"/>
        </w:rPr>
        <w:t>or designer, engi</w:t>
      </w:r>
      <w:r w:rsidR="002F7C29">
        <w:rPr>
          <w:rFonts w:ascii="Times New Roman" w:hAnsi="Times New Roman" w:cs="Times New Roman"/>
          <w:sz w:val="24"/>
          <w:szCs w:val="24"/>
        </w:rPr>
        <w:t xml:space="preserve">neer, surveyor and </w:t>
      </w:r>
      <w:r w:rsidRPr="00960048" w:rsidR="00960048">
        <w:rPr>
          <w:rFonts w:ascii="Times New Roman" w:hAnsi="Times New Roman" w:cs="Times New Roman"/>
          <w:sz w:val="24"/>
          <w:szCs w:val="24"/>
        </w:rPr>
        <w:t>mapper,</w:t>
      </w:r>
      <w:r w:rsidR="00960048">
        <w:rPr>
          <w:rFonts w:ascii="Times New Roman" w:hAnsi="Times New Roman" w:cs="Times New Roman"/>
          <w:sz w:val="24"/>
          <w:szCs w:val="24"/>
        </w:rPr>
        <w:t xml:space="preserve"> or licensed contractor</w:t>
      </w:r>
      <w:r w:rsidRPr="00393446" w:rsidR="00393446">
        <w:rPr>
          <w:rFonts w:ascii="Times New Roman" w:hAnsi="Times New Roman" w:cs="Times New Roman"/>
          <w:sz w:val="24"/>
          <w:szCs w:val="24"/>
        </w:rPr>
        <w:t xml:space="preserve"> and his or her employer, whichever date is earliest, but only as to the licensed contractor who has abandoned construction or the professional engineer, registered architect, or licensed contractor of whose contract is terminated</w:t>
      </w:r>
      <w:r w:rsidR="00D821CC">
        <w:rPr>
          <w:rFonts w:ascii="Times New Roman" w:hAnsi="Times New Roman" w:cs="Times New Roman"/>
          <w:sz w:val="24"/>
          <w:szCs w:val="24"/>
        </w:rPr>
        <w:t>;</w:t>
      </w:r>
      <w:r w:rsidR="008112BA">
        <w:rPr>
          <w:rFonts w:ascii="Times New Roman" w:hAnsi="Times New Roman" w:cs="Times New Roman"/>
          <w:sz w:val="24"/>
          <w:szCs w:val="24"/>
        </w:rPr>
        <w:t xml:space="preserve"> or </w:t>
      </w:r>
    </w:p>
    <w:p w:rsidRPr="00D821CC" w:rsidR="00D821CC" w:rsidP="00D821CC" w:rsidRDefault="00D821CC" w14:paraId="23F54A36" w14:textId="77777777">
      <w:pPr>
        <w:pStyle w:val="ListParagraph"/>
        <w:rPr>
          <w:rFonts w:ascii="Times New Roman" w:hAnsi="Times New Roman" w:cs="Times New Roman"/>
          <w:sz w:val="24"/>
          <w:szCs w:val="24"/>
        </w:rPr>
      </w:pPr>
    </w:p>
    <w:p w:rsidR="0040009F" w:rsidP="008112BA" w:rsidRDefault="00002163" w14:paraId="5AD89403" w14:textId="510A18F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Finally, as a “catch-all,” </w:t>
      </w:r>
      <w:r w:rsidRPr="008112BA" w:rsidR="008112BA">
        <w:rPr>
          <w:rFonts w:ascii="Times New Roman" w:hAnsi="Times New Roman" w:cs="Times New Roman"/>
          <w:sz w:val="24"/>
          <w:szCs w:val="24"/>
        </w:rPr>
        <w:t xml:space="preserve">the completion of the contract between the </w:t>
      </w:r>
      <w:r w:rsidRPr="00960048" w:rsidR="00960048">
        <w:rPr>
          <w:rFonts w:ascii="Times New Roman" w:hAnsi="Times New Roman" w:cs="Times New Roman"/>
          <w:sz w:val="24"/>
          <w:szCs w:val="24"/>
        </w:rPr>
        <w:t>architect, landscape architect, interi</w:t>
      </w:r>
      <w:r w:rsidR="00960048">
        <w:rPr>
          <w:rFonts w:ascii="Times New Roman" w:hAnsi="Times New Roman" w:cs="Times New Roman"/>
          <w:sz w:val="24"/>
          <w:szCs w:val="24"/>
        </w:rPr>
        <w:t>or designer, engi</w:t>
      </w:r>
      <w:r w:rsidR="002F7C29">
        <w:rPr>
          <w:rFonts w:ascii="Times New Roman" w:hAnsi="Times New Roman" w:cs="Times New Roman"/>
          <w:sz w:val="24"/>
          <w:szCs w:val="24"/>
        </w:rPr>
        <w:t xml:space="preserve">neer, surveyor and </w:t>
      </w:r>
      <w:r w:rsidRPr="00960048" w:rsidR="00960048">
        <w:rPr>
          <w:rFonts w:ascii="Times New Roman" w:hAnsi="Times New Roman" w:cs="Times New Roman"/>
          <w:sz w:val="24"/>
          <w:szCs w:val="24"/>
        </w:rPr>
        <w:t>mapper,</w:t>
      </w:r>
      <w:r w:rsidR="00960048">
        <w:rPr>
          <w:rFonts w:ascii="Times New Roman" w:hAnsi="Times New Roman" w:cs="Times New Roman"/>
          <w:sz w:val="24"/>
          <w:szCs w:val="24"/>
        </w:rPr>
        <w:t xml:space="preserve"> or licensed contractor</w:t>
      </w:r>
      <w:r w:rsidRPr="008112BA" w:rsidR="008112BA">
        <w:rPr>
          <w:rFonts w:ascii="Times New Roman" w:hAnsi="Times New Roman" w:cs="Times New Roman"/>
          <w:sz w:val="24"/>
          <w:szCs w:val="24"/>
        </w:rPr>
        <w:t xml:space="preserve"> and his or her employer.</w:t>
      </w:r>
      <w:r w:rsidR="008112BA">
        <w:rPr>
          <w:rFonts w:ascii="Times New Roman" w:hAnsi="Times New Roman" w:cs="Times New Roman"/>
          <w:sz w:val="24"/>
          <w:szCs w:val="24"/>
        </w:rPr>
        <w:t xml:space="preserve">  </w:t>
      </w:r>
      <w:r w:rsidR="0040009F">
        <w:rPr>
          <w:rFonts w:ascii="Times New Roman" w:hAnsi="Times New Roman" w:cs="Times New Roman"/>
          <w:sz w:val="24"/>
          <w:szCs w:val="24"/>
        </w:rPr>
        <w:t>“</w:t>
      </w:r>
      <w:r w:rsidRPr="008112BA" w:rsidR="008112BA">
        <w:rPr>
          <w:rFonts w:ascii="Times New Roman" w:hAnsi="Times New Roman" w:cs="Times New Roman"/>
          <w:sz w:val="24"/>
          <w:szCs w:val="24"/>
        </w:rPr>
        <w:t>Completion of the contract</w:t>
      </w:r>
      <w:r w:rsidR="0040009F">
        <w:rPr>
          <w:rFonts w:ascii="Times New Roman" w:hAnsi="Times New Roman" w:cs="Times New Roman"/>
          <w:sz w:val="24"/>
          <w:szCs w:val="24"/>
        </w:rPr>
        <w:t>”</w:t>
      </w:r>
      <w:r w:rsidRPr="008112BA" w:rsidR="008112BA">
        <w:rPr>
          <w:rFonts w:ascii="Times New Roman" w:hAnsi="Times New Roman" w:cs="Times New Roman"/>
          <w:sz w:val="24"/>
          <w:szCs w:val="24"/>
        </w:rPr>
        <w:t xml:space="preserve"> means the later of the date of final performance of all the contracted services or the date that final payment for such services becomes due without regard to the date final payment is made.</w:t>
      </w:r>
    </w:p>
    <w:p w:rsidRPr="0040009F" w:rsidR="0040009F" w:rsidP="0040009F" w:rsidRDefault="0040009F" w14:paraId="41B31E91" w14:textId="77777777">
      <w:pPr>
        <w:pStyle w:val="ListParagraph"/>
        <w:rPr>
          <w:rFonts w:ascii="Times New Roman" w:hAnsi="Times New Roman" w:cs="Times New Roman"/>
          <w:sz w:val="24"/>
          <w:szCs w:val="24"/>
        </w:rPr>
      </w:pPr>
    </w:p>
    <w:p w:rsidR="000750C2" w:rsidP="000750C2" w:rsidRDefault="0040009F" w14:paraId="3B53807C" w14:textId="7403E16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proposed bill includes modifications which make clear that for improvements under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(iii), or (v) of this section, that </w:t>
      </w:r>
      <w:r w:rsidRPr="0040009F">
        <w:rPr>
          <w:rFonts w:ascii="Times New Roman" w:hAnsi="Times New Roman" w:cs="Times New Roman"/>
          <w:sz w:val="24"/>
          <w:szCs w:val="24"/>
        </w:rPr>
        <w:t>correction of defects to completed work or repair of completed work, whether performed under warranty or otherwise, does not extend the period of time within which an action must be commenced</w:t>
      </w:r>
      <w:r>
        <w:rPr>
          <w:rFonts w:ascii="Times New Roman" w:hAnsi="Times New Roman" w:cs="Times New Roman"/>
          <w:sz w:val="24"/>
          <w:szCs w:val="24"/>
        </w:rPr>
        <w:t>.</w:t>
      </w:r>
    </w:p>
    <w:p w:rsidRPr="00960048" w:rsidR="00960048" w:rsidP="00960048" w:rsidRDefault="00960048" w14:paraId="68D7AD78" w14:textId="77777777">
      <w:pPr>
        <w:pStyle w:val="ListParagraph"/>
        <w:rPr>
          <w:rFonts w:ascii="Times New Roman" w:hAnsi="Times New Roman" w:cs="Times New Roman"/>
          <w:sz w:val="24"/>
          <w:szCs w:val="24"/>
        </w:rPr>
      </w:pPr>
    </w:p>
    <w:p w:rsidRPr="00960048" w:rsidR="00960048" w:rsidP="00960048" w:rsidRDefault="00960048" w14:paraId="53EA915E" w14:textId="62B868EC">
      <w:pPr>
        <w:spacing w:after="0" w:line="240" w:lineRule="auto"/>
        <w:ind w:firstLine="720"/>
        <w:jc w:val="both"/>
        <w:rPr>
          <w:rFonts w:ascii="Times New Roman" w:hAnsi="Times New Roman" w:cs="Times New Roman"/>
          <w:sz w:val="24"/>
          <w:szCs w:val="24"/>
        </w:rPr>
      </w:pPr>
      <w:r w:rsidRPr="00960048">
        <w:rPr>
          <w:rFonts w:ascii="Times New Roman" w:hAnsi="Times New Roman" w:cs="Times New Roman"/>
          <w:sz w:val="24"/>
          <w:szCs w:val="24"/>
        </w:rPr>
        <w:lastRenderedPageBreak/>
        <w:t xml:space="preserve">In providing the new triggers under (ii) and (iii) above, </w:t>
      </w:r>
      <w:r>
        <w:rPr>
          <w:rFonts w:ascii="Times New Roman" w:hAnsi="Times New Roman" w:cs="Times New Roman"/>
          <w:sz w:val="24"/>
          <w:szCs w:val="24"/>
        </w:rPr>
        <w:t xml:space="preserve">the proposed bill has </w:t>
      </w:r>
      <w:r w:rsidR="00F16250">
        <w:rPr>
          <w:rFonts w:ascii="Times New Roman" w:hAnsi="Times New Roman" w:cs="Times New Roman"/>
          <w:sz w:val="24"/>
          <w:szCs w:val="24"/>
        </w:rPr>
        <w:t>substituted the phrases</w:t>
      </w:r>
      <w:r>
        <w:rPr>
          <w:rFonts w:ascii="Times New Roman" w:hAnsi="Times New Roman" w:cs="Times New Roman"/>
          <w:sz w:val="24"/>
          <w:szCs w:val="24"/>
        </w:rPr>
        <w:t xml:space="preserve"> “licensed engineer” and “registered architect,” with a broader definition, to include </w:t>
      </w:r>
      <w:r w:rsidRPr="00960048">
        <w:rPr>
          <w:rFonts w:ascii="Times New Roman" w:hAnsi="Times New Roman" w:cs="Times New Roman"/>
          <w:sz w:val="24"/>
          <w:szCs w:val="24"/>
        </w:rPr>
        <w:t>architect</w:t>
      </w:r>
      <w:r>
        <w:rPr>
          <w:rFonts w:ascii="Times New Roman" w:hAnsi="Times New Roman" w:cs="Times New Roman"/>
          <w:sz w:val="24"/>
          <w:szCs w:val="24"/>
        </w:rPr>
        <w:t>s</w:t>
      </w:r>
      <w:r w:rsidRPr="00960048">
        <w:rPr>
          <w:rFonts w:ascii="Times New Roman" w:hAnsi="Times New Roman" w:cs="Times New Roman"/>
          <w:sz w:val="24"/>
          <w:szCs w:val="24"/>
        </w:rPr>
        <w:t>, landscape architect</w:t>
      </w:r>
      <w:r>
        <w:rPr>
          <w:rFonts w:ascii="Times New Roman" w:hAnsi="Times New Roman" w:cs="Times New Roman"/>
          <w:sz w:val="24"/>
          <w:szCs w:val="24"/>
        </w:rPr>
        <w:t>s</w:t>
      </w:r>
      <w:r w:rsidRPr="00960048">
        <w:rPr>
          <w:rFonts w:ascii="Times New Roman" w:hAnsi="Times New Roman" w:cs="Times New Roman"/>
          <w:sz w:val="24"/>
          <w:szCs w:val="24"/>
        </w:rPr>
        <w:t>, interior designer</w:t>
      </w:r>
      <w:r>
        <w:rPr>
          <w:rFonts w:ascii="Times New Roman" w:hAnsi="Times New Roman" w:cs="Times New Roman"/>
          <w:sz w:val="24"/>
          <w:szCs w:val="24"/>
        </w:rPr>
        <w:t>s</w:t>
      </w:r>
      <w:r w:rsidRPr="00960048">
        <w:rPr>
          <w:rFonts w:ascii="Times New Roman" w:hAnsi="Times New Roman" w:cs="Times New Roman"/>
          <w:sz w:val="24"/>
          <w:szCs w:val="24"/>
        </w:rPr>
        <w:t>, engineer</w:t>
      </w:r>
      <w:r>
        <w:rPr>
          <w:rFonts w:ascii="Times New Roman" w:hAnsi="Times New Roman" w:cs="Times New Roman"/>
          <w:sz w:val="24"/>
          <w:szCs w:val="24"/>
        </w:rPr>
        <w:t>s</w:t>
      </w:r>
      <w:r w:rsidRPr="00960048">
        <w:rPr>
          <w:rFonts w:ascii="Times New Roman" w:hAnsi="Times New Roman" w:cs="Times New Roman"/>
          <w:sz w:val="24"/>
          <w:szCs w:val="24"/>
        </w:rPr>
        <w:t>, surveyor</w:t>
      </w:r>
      <w:r>
        <w:rPr>
          <w:rFonts w:ascii="Times New Roman" w:hAnsi="Times New Roman" w:cs="Times New Roman"/>
          <w:sz w:val="24"/>
          <w:szCs w:val="24"/>
        </w:rPr>
        <w:t>s</w:t>
      </w:r>
      <w:r w:rsidRPr="00960048">
        <w:rPr>
          <w:rFonts w:ascii="Times New Roman" w:hAnsi="Times New Roman" w:cs="Times New Roman"/>
          <w:sz w:val="24"/>
          <w:szCs w:val="24"/>
        </w:rPr>
        <w:t>,</w:t>
      </w:r>
      <w:r>
        <w:rPr>
          <w:rFonts w:ascii="Times New Roman" w:hAnsi="Times New Roman" w:cs="Times New Roman"/>
          <w:sz w:val="24"/>
          <w:szCs w:val="24"/>
        </w:rPr>
        <w:t xml:space="preserve"> and</w:t>
      </w:r>
      <w:r w:rsidRPr="00960048">
        <w:rPr>
          <w:rFonts w:ascii="Times New Roman" w:hAnsi="Times New Roman" w:cs="Times New Roman"/>
          <w:sz w:val="24"/>
          <w:szCs w:val="24"/>
        </w:rPr>
        <w:t xml:space="preserve"> mapper</w:t>
      </w:r>
      <w:r>
        <w:rPr>
          <w:rFonts w:ascii="Times New Roman" w:hAnsi="Times New Roman" w:cs="Times New Roman"/>
          <w:sz w:val="24"/>
          <w:szCs w:val="24"/>
        </w:rPr>
        <w:t>s.</w:t>
      </w:r>
      <w:r w:rsidR="002F7C29">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These revisions </w:t>
      </w:r>
      <w:proofErr w:type="gramStart"/>
      <w:r>
        <w:rPr>
          <w:rFonts w:ascii="Times New Roman" w:hAnsi="Times New Roman" w:cs="Times New Roman"/>
          <w:sz w:val="24"/>
          <w:szCs w:val="24"/>
        </w:rPr>
        <w:t>have been made</w:t>
      </w:r>
      <w:proofErr w:type="gramEnd"/>
      <w:r>
        <w:rPr>
          <w:rFonts w:ascii="Times New Roman" w:hAnsi="Times New Roman" w:cs="Times New Roman"/>
          <w:sz w:val="24"/>
          <w:szCs w:val="24"/>
        </w:rPr>
        <w:t xml:space="preserve"> in an effort to capture </w:t>
      </w:r>
      <w:r w:rsidR="002F7C29">
        <w:rPr>
          <w:rFonts w:ascii="Times New Roman" w:hAnsi="Times New Roman" w:cs="Times New Roman"/>
          <w:sz w:val="24"/>
          <w:szCs w:val="24"/>
        </w:rPr>
        <w:t>all designers or planners w</w:t>
      </w:r>
      <w:r w:rsidR="00F16250">
        <w:rPr>
          <w:rFonts w:ascii="Times New Roman" w:hAnsi="Times New Roman" w:cs="Times New Roman"/>
          <w:sz w:val="24"/>
          <w:szCs w:val="24"/>
        </w:rPr>
        <w:t xml:space="preserve">ho might participate in </w:t>
      </w:r>
      <w:r w:rsidR="002F7C29">
        <w:rPr>
          <w:rFonts w:ascii="Times New Roman" w:hAnsi="Times New Roman" w:cs="Times New Roman"/>
          <w:sz w:val="24"/>
          <w:szCs w:val="24"/>
        </w:rPr>
        <w:t>an improvement to real property.</w:t>
      </w:r>
    </w:p>
    <w:p w:rsidRPr="000750C2" w:rsidR="000750C2" w:rsidP="000750C2" w:rsidRDefault="000750C2" w14:paraId="5E9312C9" w14:textId="711A629A">
      <w:pPr>
        <w:spacing w:after="0" w:line="240" w:lineRule="auto"/>
        <w:jc w:val="both"/>
        <w:rPr>
          <w:rFonts w:ascii="Times New Roman" w:hAnsi="Times New Roman" w:cs="Times New Roman"/>
          <w:sz w:val="24"/>
          <w:szCs w:val="24"/>
        </w:rPr>
      </w:pPr>
    </w:p>
    <w:p w:rsidR="0040009F" w:rsidP="0040009F" w:rsidRDefault="0040009F" w14:paraId="169D3FBB" w14:textId="77E7CC17">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proposed bill seeks to provide greater precision as to the triggering of the limitations and repose periods for actions founded on the design, planning, or construction of an improvement to real property.  Importantly, the proposed bill accomplishes the 2023 Florida </w:t>
      </w:r>
      <w:r w:rsidR="00FE0A2F">
        <w:rPr>
          <w:rFonts w:ascii="Times New Roman" w:hAnsi="Times New Roman" w:cs="Times New Roman"/>
          <w:sz w:val="24"/>
          <w:szCs w:val="24"/>
        </w:rPr>
        <w:t>L</w:t>
      </w:r>
      <w:r>
        <w:rPr>
          <w:rFonts w:ascii="Times New Roman" w:hAnsi="Times New Roman" w:cs="Times New Roman"/>
          <w:sz w:val="24"/>
          <w:szCs w:val="24"/>
        </w:rPr>
        <w:t xml:space="preserve">egislature’s intent of having these periods run from the earlier of TCO, CO, or CC issuance, while at the same time clarifying the distinction between projects subject to a TCO or CO, as opposed to a CC or inspections only.  </w:t>
      </w:r>
      <w:proofErr w:type="gramStart"/>
      <w:r>
        <w:rPr>
          <w:rFonts w:ascii="Times New Roman" w:hAnsi="Times New Roman" w:cs="Times New Roman"/>
          <w:sz w:val="24"/>
          <w:szCs w:val="24"/>
        </w:rPr>
        <w:t>Further</w:t>
      </w:r>
      <w:proofErr w:type="gramEnd"/>
      <w:r>
        <w:rPr>
          <w:rFonts w:ascii="Times New Roman" w:hAnsi="Times New Roman" w:cs="Times New Roman"/>
          <w:sz w:val="24"/>
          <w:szCs w:val="24"/>
        </w:rPr>
        <w:t xml:space="preserve"> the proposed bill does so</w:t>
      </w:r>
      <w:r w:rsidR="00960048">
        <w:rPr>
          <w:rFonts w:ascii="Times New Roman" w:hAnsi="Times New Roman" w:cs="Times New Roman"/>
          <w:sz w:val="24"/>
          <w:szCs w:val="24"/>
        </w:rPr>
        <w:t xml:space="preserve"> by broadening the category of discrete</w:t>
      </w:r>
      <w:r>
        <w:rPr>
          <w:rFonts w:ascii="Times New Roman" w:hAnsi="Times New Roman" w:cs="Times New Roman"/>
          <w:sz w:val="24"/>
          <w:szCs w:val="24"/>
        </w:rPr>
        <w:t xml:space="preserve"> trigger events, to include horizontal improvements.  The additional categories or “termination” and “completion of the contract” are necessary to avoid the statutory ambiguity created by the 2023 amendment.  Reincorporating the phrase “completion of the contract,” would have no impact on projects that receive a CO, TCO, CC, or final inspection (where CO or TCO are not required).  </w:t>
      </w:r>
    </w:p>
    <w:p w:rsidRPr="001B01B5" w:rsidR="001B01B5" w:rsidP="0040009F" w:rsidRDefault="0040009F" w14:paraId="23A863D8" w14:textId="002A1702">
      <w:pPr>
        <w:ind w:firstLine="720"/>
        <w:jc w:val="both"/>
        <w:rPr>
          <w:rFonts w:ascii="Times New Roman" w:hAnsi="Times New Roman" w:cs="Times New Roman"/>
          <w:sz w:val="24"/>
          <w:szCs w:val="24"/>
        </w:rPr>
      </w:pPr>
      <w:r>
        <w:rPr>
          <w:rFonts w:ascii="Times New Roman" w:hAnsi="Times New Roman" w:cs="Times New Roman"/>
          <w:sz w:val="24"/>
          <w:szCs w:val="24"/>
        </w:rPr>
        <w:t>Finally, a</w:t>
      </w:r>
      <w:r w:rsidR="001B01B5">
        <w:rPr>
          <w:rFonts w:ascii="Times New Roman" w:hAnsi="Times New Roman" w:cs="Times New Roman"/>
          <w:sz w:val="24"/>
          <w:szCs w:val="24"/>
        </w:rPr>
        <w:t>s noted in §</w:t>
      </w:r>
      <w:r w:rsidR="006D7988">
        <w:rPr>
          <w:rFonts w:ascii="Times New Roman" w:hAnsi="Times New Roman" w:cs="Times New Roman"/>
          <w:sz w:val="24"/>
          <w:szCs w:val="24"/>
        </w:rPr>
        <w:t xml:space="preserve"> </w:t>
      </w:r>
      <w:r w:rsidR="001B01B5">
        <w:rPr>
          <w:rFonts w:ascii="Times New Roman" w:hAnsi="Times New Roman" w:cs="Times New Roman"/>
          <w:sz w:val="24"/>
          <w:szCs w:val="24"/>
        </w:rPr>
        <w:t xml:space="preserve">VI, </w:t>
      </w:r>
      <w:r w:rsidR="001B01B5">
        <w:rPr>
          <w:rFonts w:ascii="Times New Roman" w:hAnsi="Times New Roman" w:cs="Times New Roman"/>
          <w:i/>
          <w:sz w:val="24"/>
          <w:szCs w:val="24"/>
        </w:rPr>
        <w:t>supra</w:t>
      </w:r>
      <w:r w:rsidR="001B01B5">
        <w:rPr>
          <w:rFonts w:ascii="Times New Roman" w:hAnsi="Times New Roman" w:cs="Times New Roman"/>
          <w:sz w:val="24"/>
          <w:szCs w:val="24"/>
        </w:rPr>
        <w:t>, this white paper fur</w:t>
      </w:r>
      <w:r w:rsidR="00FE0A2F">
        <w:rPr>
          <w:rFonts w:ascii="Times New Roman" w:hAnsi="Times New Roman" w:cs="Times New Roman"/>
          <w:sz w:val="24"/>
          <w:szCs w:val="24"/>
        </w:rPr>
        <w:t>ther proposes that the Florida L</w:t>
      </w:r>
      <w:r w:rsidR="001B01B5">
        <w:rPr>
          <w:rFonts w:ascii="Times New Roman" w:hAnsi="Times New Roman" w:cs="Times New Roman"/>
          <w:sz w:val="24"/>
          <w:szCs w:val="24"/>
        </w:rPr>
        <w:t xml:space="preserve">egislature establish facts necessary to support the </w:t>
      </w:r>
      <w:proofErr w:type="spellStart"/>
      <w:r w:rsidR="001B01B5">
        <w:rPr>
          <w:rFonts w:ascii="Times New Roman" w:hAnsi="Times New Roman" w:cs="Times New Roman"/>
          <w:sz w:val="24"/>
          <w:szCs w:val="24"/>
        </w:rPr>
        <w:t>preambular</w:t>
      </w:r>
      <w:proofErr w:type="spellEnd"/>
      <w:r w:rsidR="001B01B5">
        <w:rPr>
          <w:rFonts w:ascii="Times New Roman" w:hAnsi="Times New Roman" w:cs="Times New Roman"/>
          <w:sz w:val="24"/>
          <w:szCs w:val="24"/>
        </w:rPr>
        <w:t xml:space="preserve"> findings necessary to establish that any potential limitation on “access to courts” imposed by this law is supported by an “overpowering public necessity.”</w:t>
      </w:r>
    </w:p>
    <w:p w:rsidR="00B2378D" w:rsidP="00B2378D" w:rsidRDefault="00B2378D" w14:paraId="0E0B1337" w14:textId="77777777">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FISCAL IMPACT ON STATE AND LOCAL GOVERNMENTS</w:t>
      </w:r>
    </w:p>
    <w:p w:rsidR="00DE7405" w:rsidP="00DE7405" w:rsidRDefault="00DE7405" w14:paraId="59ECCBDE" w14:textId="77777777">
      <w:pPr>
        <w:spacing w:after="0" w:line="240" w:lineRule="auto"/>
        <w:jc w:val="both"/>
        <w:rPr>
          <w:rFonts w:ascii="Times New Roman" w:hAnsi="Times New Roman" w:cs="Times New Roman"/>
          <w:b/>
          <w:sz w:val="24"/>
          <w:szCs w:val="24"/>
        </w:rPr>
      </w:pPr>
    </w:p>
    <w:p w:rsidR="00B2378D" w:rsidP="005D67FE" w:rsidRDefault="005D67FE" w14:paraId="6C55E7E6" w14:textId="516F3953">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None.</w:t>
      </w:r>
    </w:p>
    <w:p w:rsidR="000A003F" w:rsidP="005D67FE" w:rsidRDefault="000A003F" w14:paraId="32F6F387" w14:textId="46E95BBB">
      <w:pPr>
        <w:spacing w:after="0" w:line="240" w:lineRule="auto"/>
        <w:ind w:left="1080"/>
        <w:jc w:val="both"/>
        <w:rPr>
          <w:rFonts w:ascii="Times New Roman" w:hAnsi="Times New Roman" w:cs="Times New Roman"/>
          <w:sz w:val="24"/>
          <w:szCs w:val="24"/>
        </w:rPr>
      </w:pPr>
    </w:p>
    <w:p w:rsidR="00B2378D" w:rsidP="00B2378D" w:rsidRDefault="00B2378D" w14:paraId="5B433BE5" w14:textId="77777777">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DIRECT ECONOMIC IMPACT ON PRIVATE SECTOR</w:t>
      </w:r>
    </w:p>
    <w:p w:rsidR="00DE7405" w:rsidP="00DE7405" w:rsidRDefault="00DE7405" w14:paraId="3D5DA319" w14:textId="77777777">
      <w:pPr>
        <w:spacing w:after="0" w:line="240" w:lineRule="auto"/>
        <w:jc w:val="both"/>
        <w:rPr>
          <w:rFonts w:ascii="Times New Roman" w:hAnsi="Times New Roman" w:cs="Times New Roman"/>
          <w:b/>
          <w:sz w:val="24"/>
          <w:szCs w:val="24"/>
        </w:rPr>
      </w:pPr>
    </w:p>
    <w:p w:rsidR="000B3F17" w:rsidP="00075BF4" w:rsidRDefault="005D67FE" w14:paraId="4C46C6EE" w14:textId="77777777">
      <w:pPr>
        <w:spacing w:after="0" w:line="240" w:lineRule="auto"/>
        <w:ind w:firstLine="720"/>
        <w:jc w:val="both"/>
        <w:rPr>
          <w:rFonts w:ascii="Times New Roman" w:hAnsi="Times New Roman" w:cs="Times New Roman"/>
          <w:sz w:val="24"/>
          <w:szCs w:val="24"/>
        </w:rPr>
      </w:pPr>
      <w:r w:rsidRPr="005D67FE">
        <w:rPr>
          <w:rFonts w:ascii="Times New Roman" w:hAnsi="Times New Roman" w:cs="Times New Roman"/>
          <w:sz w:val="24"/>
          <w:szCs w:val="24"/>
        </w:rPr>
        <w:t>The direct economic impact on the private sector</w:t>
      </w:r>
      <w:r>
        <w:rPr>
          <w:rFonts w:ascii="Times New Roman" w:hAnsi="Times New Roman" w:cs="Times New Roman"/>
          <w:sz w:val="24"/>
          <w:szCs w:val="24"/>
        </w:rPr>
        <w:t xml:space="preserve"> is unknown. </w:t>
      </w:r>
      <w:r w:rsidR="00847CCC">
        <w:rPr>
          <w:rFonts w:ascii="Times New Roman" w:hAnsi="Times New Roman" w:cs="Times New Roman"/>
          <w:sz w:val="24"/>
          <w:szCs w:val="24"/>
        </w:rPr>
        <w:t>However, the Final House Bill Staff Analysis for s. 95.11(3</w:t>
      </w:r>
      <w:proofErr w:type="gramStart"/>
      <w:r w:rsidR="00847CCC">
        <w:rPr>
          <w:rFonts w:ascii="Times New Roman" w:hAnsi="Times New Roman" w:cs="Times New Roman"/>
          <w:sz w:val="24"/>
          <w:szCs w:val="24"/>
        </w:rPr>
        <w:t>)(</w:t>
      </w:r>
      <w:proofErr w:type="gramEnd"/>
      <w:r w:rsidR="006C3ED0">
        <w:rPr>
          <w:rFonts w:ascii="Times New Roman" w:hAnsi="Times New Roman" w:cs="Times New Roman"/>
          <w:sz w:val="24"/>
          <w:szCs w:val="24"/>
        </w:rPr>
        <w:t>b</w:t>
      </w:r>
      <w:r w:rsidR="00847CCC">
        <w:rPr>
          <w:rFonts w:ascii="Times New Roman" w:hAnsi="Times New Roman" w:cs="Times New Roman"/>
          <w:sz w:val="24"/>
          <w:szCs w:val="24"/>
        </w:rPr>
        <w:t>)</w:t>
      </w:r>
      <w:r w:rsidR="000B3F17">
        <w:rPr>
          <w:rFonts w:ascii="Times New Roman" w:hAnsi="Times New Roman" w:cs="Times New Roman"/>
          <w:sz w:val="24"/>
          <w:szCs w:val="24"/>
        </w:rPr>
        <w:t>, Fla. Stat., provided that the amendments would</w:t>
      </w:r>
      <w:r w:rsidR="00075BF4">
        <w:rPr>
          <w:rFonts w:ascii="Times New Roman" w:hAnsi="Times New Roman" w:cs="Times New Roman"/>
          <w:sz w:val="24"/>
          <w:szCs w:val="24"/>
        </w:rPr>
        <w:t xml:space="preserve"> </w:t>
      </w:r>
      <w:r w:rsidR="00847CCC">
        <w:rPr>
          <w:rFonts w:ascii="Times New Roman" w:hAnsi="Times New Roman" w:cs="Times New Roman"/>
          <w:sz w:val="24"/>
          <w:szCs w:val="24"/>
        </w:rPr>
        <w:t>have the following</w:t>
      </w:r>
      <w:r w:rsidR="00075BF4">
        <w:rPr>
          <w:rFonts w:ascii="Times New Roman" w:hAnsi="Times New Roman" w:cs="Times New Roman"/>
          <w:sz w:val="24"/>
          <w:szCs w:val="24"/>
        </w:rPr>
        <w:t xml:space="preserve"> impacts</w:t>
      </w:r>
      <w:r w:rsidR="000B3F17">
        <w:rPr>
          <w:rFonts w:ascii="Times New Roman" w:hAnsi="Times New Roman" w:cs="Times New Roman"/>
          <w:sz w:val="24"/>
          <w:szCs w:val="24"/>
        </w:rPr>
        <w:t>:</w:t>
      </w:r>
    </w:p>
    <w:p w:rsidR="006D7988" w:rsidP="00075BF4" w:rsidRDefault="006D7988" w14:paraId="524A71ED" w14:textId="77777777">
      <w:pPr>
        <w:spacing w:after="0" w:line="240" w:lineRule="auto"/>
        <w:ind w:firstLine="720"/>
        <w:jc w:val="both"/>
        <w:rPr>
          <w:rFonts w:ascii="Times New Roman" w:hAnsi="Times New Roman" w:cs="Times New Roman"/>
          <w:sz w:val="24"/>
          <w:szCs w:val="24"/>
        </w:rPr>
      </w:pPr>
    </w:p>
    <w:p w:rsidR="000B3F17" w:rsidP="000B3F17" w:rsidRDefault="00847CCC" w14:paraId="0D01664B" w14:textId="77777777">
      <w:pPr>
        <w:pStyle w:val="ListParagraph"/>
        <w:numPr>
          <w:ilvl w:val="0"/>
          <w:numId w:val="6"/>
        </w:numPr>
        <w:spacing w:after="0" w:line="240" w:lineRule="auto"/>
        <w:jc w:val="both"/>
        <w:rPr>
          <w:rFonts w:ascii="Times New Roman" w:hAnsi="Times New Roman" w:cs="Times New Roman"/>
          <w:sz w:val="24"/>
          <w:szCs w:val="24"/>
        </w:rPr>
      </w:pPr>
      <w:r w:rsidRPr="000B3F17">
        <w:rPr>
          <w:rFonts w:ascii="Times New Roman" w:hAnsi="Times New Roman" w:cs="Times New Roman"/>
          <w:sz w:val="24"/>
          <w:szCs w:val="24"/>
        </w:rPr>
        <w:t>may potentially l</w:t>
      </w:r>
      <w:r w:rsidRPr="000B3F17" w:rsidR="005D67FE">
        <w:rPr>
          <w:rFonts w:ascii="Times New Roman" w:hAnsi="Times New Roman" w:cs="Times New Roman"/>
          <w:sz w:val="24"/>
          <w:szCs w:val="24"/>
        </w:rPr>
        <w:t>eave consumers bea</w:t>
      </w:r>
      <w:r w:rsidRPr="000B3F17">
        <w:rPr>
          <w:rFonts w:ascii="Times New Roman" w:hAnsi="Times New Roman" w:cs="Times New Roman"/>
          <w:sz w:val="24"/>
          <w:szCs w:val="24"/>
        </w:rPr>
        <w:t xml:space="preserve">ring the costs associated with </w:t>
      </w:r>
      <w:r w:rsidRPr="000B3F17" w:rsidR="00D57EE8">
        <w:rPr>
          <w:rFonts w:ascii="Times New Roman" w:hAnsi="Times New Roman" w:cs="Times New Roman"/>
          <w:sz w:val="24"/>
          <w:szCs w:val="24"/>
        </w:rPr>
        <w:t>l</w:t>
      </w:r>
      <w:r w:rsidRPr="000B3F17" w:rsidR="005D67FE">
        <w:rPr>
          <w:rFonts w:ascii="Times New Roman" w:hAnsi="Times New Roman" w:cs="Times New Roman"/>
          <w:sz w:val="24"/>
          <w:szCs w:val="24"/>
        </w:rPr>
        <w:t xml:space="preserve">atent construction defects that are not discovered within the shortened statute of </w:t>
      </w:r>
      <w:r w:rsidR="000B3F17">
        <w:rPr>
          <w:rFonts w:ascii="Times New Roman" w:hAnsi="Times New Roman" w:cs="Times New Roman"/>
          <w:sz w:val="24"/>
          <w:szCs w:val="24"/>
        </w:rPr>
        <w:t>repose;</w:t>
      </w:r>
    </w:p>
    <w:p w:rsidR="000B3F17" w:rsidP="000B3F17" w:rsidRDefault="00847CCC" w14:paraId="09BE12E2" w14:textId="77777777">
      <w:pPr>
        <w:pStyle w:val="ListParagraph"/>
        <w:numPr>
          <w:ilvl w:val="0"/>
          <w:numId w:val="6"/>
        </w:numPr>
        <w:spacing w:after="0" w:line="240" w:lineRule="auto"/>
        <w:jc w:val="both"/>
        <w:rPr>
          <w:rFonts w:ascii="Times New Roman" w:hAnsi="Times New Roman" w:cs="Times New Roman"/>
          <w:sz w:val="24"/>
          <w:szCs w:val="24"/>
        </w:rPr>
      </w:pPr>
      <w:r w:rsidRPr="000B3F17">
        <w:rPr>
          <w:rFonts w:ascii="Times New Roman" w:hAnsi="Times New Roman" w:cs="Times New Roman"/>
          <w:sz w:val="24"/>
          <w:szCs w:val="24"/>
        </w:rPr>
        <w:t>m</w:t>
      </w:r>
      <w:r w:rsidRPr="000B3F17" w:rsidR="005D67FE">
        <w:rPr>
          <w:rFonts w:ascii="Times New Roman" w:hAnsi="Times New Roman" w:cs="Times New Roman"/>
          <w:sz w:val="24"/>
          <w:szCs w:val="24"/>
        </w:rPr>
        <w:t>ay reduce construction costs for consumers as savings realized by the construction industry due to lowered insurance premiums and litigation cost</w:t>
      </w:r>
      <w:r w:rsidRPr="000B3F17" w:rsidR="00D57EE8">
        <w:rPr>
          <w:rFonts w:ascii="Times New Roman" w:hAnsi="Times New Roman" w:cs="Times New Roman"/>
          <w:sz w:val="24"/>
          <w:szCs w:val="24"/>
        </w:rPr>
        <w:t>s may be passed on to con</w:t>
      </w:r>
      <w:r w:rsidR="000B3F17">
        <w:rPr>
          <w:rFonts w:ascii="Times New Roman" w:hAnsi="Times New Roman" w:cs="Times New Roman"/>
          <w:sz w:val="24"/>
          <w:szCs w:val="24"/>
        </w:rPr>
        <w:t>sumers;</w:t>
      </w:r>
    </w:p>
    <w:p w:rsidR="000B3F17" w:rsidP="000B3F17" w:rsidRDefault="00D57EE8" w14:paraId="5BE70E17" w14:textId="77777777">
      <w:pPr>
        <w:pStyle w:val="ListParagraph"/>
        <w:numPr>
          <w:ilvl w:val="0"/>
          <w:numId w:val="6"/>
        </w:numPr>
        <w:spacing w:after="0" w:line="240" w:lineRule="auto"/>
        <w:jc w:val="both"/>
        <w:rPr>
          <w:rFonts w:ascii="Times New Roman" w:hAnsi="Times New Roman" w:cs="Times New Roman"/>
          <w:sz w:val="24"/>
          <w:szCs w:val="24"/>
        </w:rPr>
      </w:pPr>
      <w:proofErr w:type="gramStart"/>
      <w:r w:rsidRPr="000B3F17">
        <w:rPr>
          <w:rFonts w:ascii="Times New Roman" w:hAnsi="Times New Roman" w:cs="Times New Roman"/>
          <w:sz w:val="24"/>
          <w:szCs w:val="24"/>
        </w:rPr>
        <w:t>m</w:t>
      </w:r>
      <w:r w:rsidRPr="000B3F17" w:rsidR="005D67FE">
        <w:rPr>
          <w:rFonts w:ascii="Times New Roman" w:hAnsi="Times New Roman" w:cs="Times New Roman"/>
          <w:sz w:val="24"/>
          <w:szCs w:val="24"/>
        </w:rPr>
        <w:t>ay</w:t>
      </w:r>
      <w:proofErr w:type="gramEnd"/>
      <w:r w:rsidRPr="000B3F17" w:rsidR="005D67FE">
        <w:rPr>
          <w:rFonts w:ascii="Times New Roman" w:hAnsi="Times New Roman" w:cs="Times New Roman"/>
          <w:sz w:val="24"/>
          <w:szCs w:val="24"/>
        </w:rPr>
        <w:t xml:space="preserve"> reduce financial liability for the construction industry due to lowered insurance premiums and litigation costs.</w:t>
      </w:r>
    </w:p>
    <w:p w:rsidRPr="000B3F17" w:rsidR="00502584" w:rsidP="00502584" w:rsidRDefault="00502584" w14:paraId="4A1465B7" w14:textId="77777777">
      <w:pPr>
        <w:pStyle w:val="ListParagraph"/>
        <w:spacing w:after="0" w:line="240" w:lineRule="auto"/>
        <w:jc w:val="both"/>
        <w:rPr>
          <w:rFonts w:ascii="Times New Roman" w:hAnsi="Times New Roman" w:cs="Times New Roman"/>
          <w:sz w:val="24"/>
          <w:szCs w:val="24"/>
        </w:rPr>
      </w:pPr>
    </w:p>
    <w:p w:rsidR="00DE7405" w:rsidP="000B3F17" w:rsidRDefault="00D57EE8" w14:paraId="0B8F03C3"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direct economic impact </w:t>
      </w:r>
      <w:r w:rsidR="000B3F17">
        <w:rPr>
          <w:rFonts w:ascii="Times New Roman" w:hAnsi="Times New Roman" w:cs="Times New Roman"/>
          <w:sz w:val="24"/>
          <w:szCs w:val="24"/>
        </w:rPr>
        <w:t>of the proposed revisions to s. s. 95.11(3</w:t>
      </w:r>
      <w:proofErr w:type="gramStart"/>
      <w:r w:rsidR="000B3F17">
        <w:rPr>
          <w:rFonts w:ascii="Times New Roman" w:hAnsi="Times New Roman" w:cs="Times New Roman"/>
          <w:sz w:val="24"/>
          <w:szCs w:val="24"/>
        </w:rPr>
        <w:t>)(</w:t>
      </w:r>
      <w:proofErr w:type="gramEnd"/>
      <w:r w:rsidR="006C3ED0">
        <w:rPr>
          <w:rFonts w:ascii="Times New Roman" w:hAnsi="Times New Roman" w:cs="Times New Roman"/>
          <w:sz w:val="24"/>
          <w:szCs w:val="24"/>
        </w:rPr>
        <w:t>b</w:t>
      </w:r>
      <w:r w:rsidR="000B3F17">
        <w:rPr>
          <w:rFonts w:ascii="Times New Roman" w:hAnsi="Times New Roman" w:cs="Times New Roman"/>
          <w:sz w:val="24"/>
          <w:szCs w:val="24"/>
        </w:rPr>
        <w:t xml:space="preserve">), Fla. Stat. </w:t>
      </w:r>
      <w:r>
        <w:rPr>
          <w:rFonts w:ascii="Times New Roman" w:hAnsi="Times New Roman" w:cs="Times New Roman"/>
          <w:sz w:val="24"/>
          <w:szCs w:val="24"/>
        </w:rPr>
        <w:t>should be no more than under the current law.</w:t>
      </w:r>
    </w:p>
    <w:p w:rsidRPr="00B2378D" w:rsidR="00B2378D" w:rsidP="00B2378D" w:rsidRDefault="00B2378D" w14:paraId="154221DD" w14:textId="77777777">
      <w:pPr>
        <w:spacing w:after="0" w:line="240" w:lineRule="auto"/>
        <w:jc w:val="both"/>
        <w:rPr>
          <w:rFonts w:ascii="Times New Roman" w:hAnsi="Times New Roman" w:cs="Times New Roman"/>
          <w:sz w:val="24"/>
          <w:szCs w:val="24"/>
        </w:rPr>
      </w:pPr>
    </w:p>
    <w:p w:rsidR="00B2378D" w:rsidP="00B2378D" w:rsidRDefault="00B2378D" w14:paraId="2519DDE6" w14:textId="77777777">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CONSTITUTIONAL ISSUES</w:t>
      </w:r>
    </w:p>
    <w:p w:rsidR="00B2378D" w:rsidP="00B2378D" w:rsidRDefault="00B2378D" w14:paraId="6C628663" w14:textId="77777777">
      <w:pPr>
        <w:pStyle w:val="ListParagraph"/>
        <w:spacing w:after="0" w:line="240" w:lineRule="auto"/>
        <w:rPr>
          <w:rFonts w:ascii="Times New Roman" w:hAnsi="Times New Roman" w:cs="Times New Roman"/>
          <w:b/>
          <w:sz w:val="24"/>
          <w:szCs w:val="24"/>
        </w:rPr>
      </w:pPr>
    </w:p>
    <w:p w:rsidRPr="00502584" w:rsidR="00502584" w:rsidP="007727E2" w:rsidRDefault="00C527DA" w14:paraId="1ACA68E5" w14:textId="744CE77A">
      <w:pPr>
        <w:pStyle w:val="ListParagraph"/>
        <w:spacing w:after="0" w:line="240" w:lineRule="auto"/>
        <w:ind w:left="0" w:firstLine="720"/>
        <w:jc w:val="both"/>
        <w:rPr>
          <w:rFonts w:ascii="Times New Roman" w:hAnsi="Times New Roman" w:cs="Times New Roman"/>
          <w:sz w:val="24"/>
          <w:szCs w:val="24"/>
        </w:rPr>
      </w:pPr>
      <w:r w:rsidRPr="00C527DA">
        <w:rPr>
          <w:rFonts w:ascii="Times New Roman" w:hAnsi="Times New Roman" w:cs="Times New Roman"/>
          <w:sz w:val="24"/>
          <w:szCs w:val="24"/>
        </w:rPr>
        <w:t xml:space="preserve">There is a substantial question about the constitutionality of the </w:t>
      </w:r>
      <w:r w:rsidR="006D7988">
        <w:rPr>
          <w:rFonts w:ascii="Times New Roman" w:hAnsi="Times New Roman" w:cs="Times New Roman"/>
          <w:sz w:val="24"/>
          <w:szCs w:val="24"/>
        </w:rPr>
        <w:t xml:space="preserve">2023 </w:t>
      </w:r>
      <w:r w:rsidRPr="00C527DA">
        <w:rPr>
          <w:rFonts w:ascii="Times New Roman" w:hAnsi="Times New Roman" w:cs="Times New Roman"/>
          <w:sz w:val="24"/>
          <w:szCs w:val="24"/>
        </w:rPr>
        <w:t xml:space="preserve">statute of repose change. In 1979, the Florida Supreme Court held that the creation of the statute of repose was unconstitutional in </w:t>
      </w:r>
      <w:r w:rsidRPr="00C527DA">
        <w:rPr>
          <w:rFonts w:ascii="Times New Roman" w:hAnsi="Times New Roman" w:cs="Times New Roman"/>
          <w:i/>
          <w:sz w:val="24"/>
          <w:szCs w:val="24"/>
        </w:rPr>
        <w:t xml:space="preserve">Overland Const. Co., Inc. v. </w:t>
      </w:r>
      <w:proofErr w:type="spellStart"/>
      <w:r w:rsidRPr="00C527DA">
        <w:rPr>
          <w:rFonts w:ascii="Times New Roman" w:hAnsi="Times New Roman" w:cs="Times New Roman"/>
          <w:i/>
          <w:sz w:val="24"/>
          <w:szCs w:val="24"/>
        </w:rPr>
        <w:t>Sirmons</w:t>
      </w:r>
      <w:proofErr w:type="spellEnd"/>
      <w:r w:rsidRPr="00C527DA">
        <w:rPr>
          <w:rFonts w:ascii="Times New Roman" w:hAnsi="Times New Roman" w:cs="Times New Roman"/>
          <w:sz w:val="24"/>
          <w:szCs w:val="24"/>
        </w:rPr>
        <w:t xml:space="preserve">, </w:t>
      </w:r>
      <w:proofErr w:type="gramStart"/>
      <w:r w:rsidRPr="00C527DA">
        <w:rPr>
          <w:rFonts w:ascii="Times New Roman" w:hAnsi="Times New Roman" w:cs="Times New Roman"/>
          <w:sz w:val="24"/>
          <w:szCs w:val="24"/>
        </w:rPr>
        <w:t>369</w:t>
      </w:r>
      <w:proofErr w:type="gramEnd"/>
      <w:r w:rsidRPr="00C527DA">
        <w:rPr>
          <w:rFonts w:ascii="Times New Roman" w:hAnsi="Times New Roman" w:cs="Times New Roman"/>
          <w:sz w:val="24"/>
          <w:szCs w:val="24"/>
        </w:rPr>
        <w:t xml:space="preserve"> So. 2d 572 (Fla. 1979), for violating the “access to courts” clause in the Florida Constitution at Article 1, Section 21, </w:t>
      </w:r>
      <w:r>
        <w:rPr>
          <w:rFonts w:ascii="Times New Roman" w:hAnsi="Times New Roman" w:cs="Times New Roman"/>
          <w:sz w:val="24"/>
          <w:szCs w:val="24"/>
        </w:rPr>
        <w:t>as</w:t>
      </w:r>
      <w:r w:rsidRPr="00C527DA">
        <w:rPr>
          <w:rFonts w:ascii="Times New Roman" w:hAnsi="Times New Roman" w:cs="Times New Roman"/>
          <w:sz w:val="24"/>
          <w:szCs w:val="24"/>
        </w:rPr>
        <w:t xml:space="preserve"> the legislature had not expressed an “overpowering public necessity” for the statute. In 1980, the </w:t>
      </w:r>
      <w:r w:rsidR="00FE0A2F">
        <w:rPr>
          <w:rFonts w:ascii="Times New Roman" w:hAnsi="Times New Roman" w:cs="Times New Roman"/>
          <w:sz w:val="24"/>
          <w:szCs w:val="24"/>
        </w:rPr>
        <w:t>l</w:t>
      </w:r>
      <w:r w:rsidRPr="00C527DA">
        <w:rPr>
          <w:rFonts w:ascii="Times New Roman" w:hAnsi="Times New Roman" w:cs="Times New Roman"/>
          <w:sz w:val="24"/>
          <w:szCs w:val="24"/>
        </w:rPr>
        <w:t xml:space="preserve">egislature re-enacted the statute of repose with express findings in the preamble expressing that public necessity. </w:t>
      </w:r>
      <w:r>
        <w:rPr>
          <w:rFonts w:ascii="Times New Roman" w:hAnsi="Times New Roman" w:cs="Times New Roman"/>
          <w:i/>
          <w:sz w:val="24"/>
          <w:szCs w:val="24"/>
        </w:rPr>
        <w:t xml:space="preserve">See </w:t>
      </w:r>
      <w:r w:rsidRPr="00C527DA">
        <w:rPr>
          <w:rFonts w:ascii="Times New Roman" w:hAnsi="Times New Roman" w:cs="Times New Roman"/>
          <w:sz w:val="24"/>
          <w:szCs w:val="24"/>
        </w:rPr>
        <w:t xml:space="preserve">Ch. 80-322, Laws of Florida. In 2006, when the </w:t>
      </w:r>
      <w:r w:rsidR="00FE0A2F">
        <w:rPr>
          <w:rFonts w:ascii="Times New Roman" w:hAnsi="Times New Roman" w:cs="Times New Roman"/>
          <w:sz w:val="24"/>
          <w:szCs w:val="24"/>
        </w:rPr>
        <w:t>l</w:t>
      </w:r>
      <w:r w:rsidRPr="00C527DA">
        <w:rPr>
          <w:rFonts w:ascii="Times New Roman" w:hAnsi="Times New Roman" w:cs="Times New Roman"/>
          <w:sz w:val="24"/>
          <w:szCs w:val="24"/>
        </w:rPr>
        <w:t>egislature shortened the repose period to 10 years, it included effectively the same findings of public necessity</w:t>
      </w:r>
      <w:r>
        <w:rPr>
          <w:rFonts w:ascii="Times New Roman" w:hAnsi="Times New Roman" w:cs="Times New Roman"/>
          <w:sz w:val="24"/>
          <w:szCs w:val="24"/>
        </w:rPr>
        <w:t xml:space="preserve"> in the preamble</w:t>
      </w:r>
      <w:r w:rsidRPr="00C527DA">
        <w:rPr>
          <w:rFonts w:ascii="Times New Roman" w:hAnsi="Times New Roman" w:cs="Times New Roman"/>
          <w:sz w:val="24"/>
          <w:szCs w:val="24"/>
        </w:rPr>
        <w:t xml:space="preserve">. Chapter 2006-145, Laws of Florida. The inclusion of the preamble in 2006 certainly implies the </w:t>
      </w:r>
      <w:r w:rsidR="00FE0A2F">
        <w:rPr>
          <w:rFonts w:ascii="Times New Roman" w:hAnsi="Times New Roman" w:cs="Times New Roman"/>
          <w:sz w:val="24"/>
          <w:szCs w:val="24"/>
        </w:rPr>
        <w:t>l</w:t>
      </w:r>
      <w:r w:rsidRPr="00C527DA">
        <w:rPr>
          <w:rFonts w:ascii="Times New Roman" w:hAnsi="Times New Roman" w:cs="Times New Roman"/>
          <w:sz w:val="24"/>
          <w:szCs w:val="24"/>
        </w:rPr>
        <w:t xml:space="preserve">egislature’s logical recognition that if the imposition of a statute of repose in the first instance violates the access to courts right of the Florida Constitution, then shortening it would also violate it unless there are similar findings of public necessity as expressed by the </w:t>
      </w:r>
      <w:r w:rsidR="00FE0A2F">
        <w:rPr>
          <w:rFonts w:ascii="Times New Roman" w:hAnsi="Times New Roman" w:cs="Times New Roman"/>
          <w:sz w:val="24"/>
          <w:szCs w:val="24"/>
        </w:rPr>
        <w:t>l</w:t>
      </w:r>
      <w:r w:rsidRPr="00C527DA">
        <w:rPr>
          <w:rFonts w:ascii="Times New Roman" w:hAnsi="Times New Roman" w:cs="Times New Roman"/>
          <w:sz w:val="24"/>
          <w:szCs w:val="24"/>
        </w:rPr>
        <w:t xml:space="preserve">egislature in </w:t>
      </w:r>
      <w:r>
        <w:rPr>
          <w:rFonts w:ascii="Times New Roman" w:hAnsi="Times New Roman" w:cs="Times New Roman"/>
          <w:sz w:val="24"/>
          <w:szCs w:val="24"/>
        </w:rPr>
        <w:t xml:space="preserve">Ch. </w:t>
      </w:r>
      <w:r w:rsidRPr="00C527DA">
        <w:rPr>
          <w:rFonts w:ascii="Times New Roman" w:hAnsi="Times New Roman" w:cs="Times New Roman"/>
          <w:sz w:val="24"/>
          <w:szCs w:val="24"/>
        </w:rPr>
        <w:t>80-322. However, the 2023 legislation included no such findings, and the difference between a five-year shortening in 2006 and a further three-year shortening in 2023 would seem an immaterial distinction. The legislative history of the 2023 law suggests no consideration of this issue at all. In sum, it appears that the shortening of the statute of repose as expressed in Chapter 2023-22 may very well violate the Florida Constitution’s access to courts clause</w:t>
      </w:r>
      <w:r w:rsidR="006D7988">
        <w:rPr>
          <w:rFonts w:ascii="Times New Roman" w:hAnsi="Times New Roman" w:cs="Times New Roman"/>
          <w:sz w:val="24"/>
          <w:szCs w:val="24"/>
        </w:rPr>
        <w:t xml:space="preserve"> under existing precedent</w:t>
      </w:r>
      <w:r w:rsidRPr="00C527DA">
        <w:rPr>
          <w:rFonts w:ascii="Times New Roman" w:hAnsi="Times New Roman" w:cs="Times New Roman"/>
          <w:sz w:val="24"/>
          <w:szCs w:val="24"/>
        </w:rPr>
        <w:t>.</w:t>
      </w:r>
      <w:r w:rsidR="007727E2">
        <w:rPr>
          <w:rFonts w:ascii="Times New Roman" w:hAnsi="Times New Roman" w:cs="Times New Roman"/>
          <w:sz w:val="24"/>
          <w:szCs w:val="24"/>
        </w:rPr>
        <w:t xml:space="preserve">  If s. 95.11(3</w:t>
      </w:r>
      <w:proofErr w:type="gramStart"/>
      <w:r w:rsidR="007727E2">
        <w:rPr>
          <w:rFonts w:ascii="Times New Roman" w:hAnsi="Times New Roman" w:cs="Times New Roman"/>
          <w:sz w:val="24"/>
          <w:szCs w:val="24"/>
        </w:rPr>
        <w:t>)(</w:t>
      </w:r>
      <w:proofErr w:type="gramEnd"/>
      <w:r w:rsidR="006C3ED0">
        <w:rPr>
          <w:rFonts w:ascii="Times New Roman" w:hAnsi="Times New Roman" w:cs="Times New Roman"/>
          <w:sz w:val="24"/>
          <w:szCs w:val="24"/>
        </w:rPr>
        <w:t>b</w:t>
      </w:r>
      <w:r w:rsidR="007727E2">
        <w:rPr>
          <w:rFonts w:ascii="Times New Roman" w:hAnsi="Times New Roman" w:cs="Times New Roman"/>
          <w:sz w:val="24"/>
          <w:szCs w:val="24"/>
        </w:rPr>
        <w:t>), Fla. Stat. is found unconstitutional, Florida courts would likely revert back to the pre-April 1</w:t>
      </w:r>
      <w:r w:rsidR="00B31BF9">
        <w:rPr>
          <w:rFonts w:ascii="Times New Roman" w:hAnsi="Times New Roman" w:cs="Times New Roman"/>
          <w:sz w:val="24"/>
          <w:szCs w:val="24"/>
        </w:rPr>
        <w:t>3</w:t>
      </w:r>
      <w:r w:rsidR="007727E2">
        <w:rPr>
          <w:rFonts w:ascii="Times New Roman" w:hAnsi="Times New Roman" w:cs="Times New Roman"/>
          <w:sz w:val="24"/>
          <w:szCs w:val="24"/>
        </w:rPr>
        <w:t xml:space="preserve">, 2023 version of the statute. </w:t>
      </w:r>
      <w:r w:rsidR="007727E2">
        <w:rPr>
          <w:rFonts w:ascii="Times New Roman" w:hAnsi="Times New Roman" w:cs="Times New Roman"/>
          <w:i/>
          <w:sz w:val="24"/>
          <w:szCs w:val="24"/>
        </w:rPr>
        <w:t>See</w:t>
      </w:r>
      <w:r w:rsidR="007727E2">
        <w:rPr>
          <w:rFonts w:ascii="Times New Roman" w:hAnsi="Times New Roman" w:cs="Times New Roman"/>
          <w:sz w:val="24"/>
          <w:szCs w:val="24"/>
        </w:rPr>
        <w:t xml:space="preserve"> </w:t>
      </w:r>
      <w:r w:rsidRPr="007727E2" w:rsidR="007727E2">
        <w:rPr>
          <w:rFonts w:ascii="Times New Roman" w:hAnsi="Times New Roman" w:cs="Times New Roman"/>
          <w:i/>
          <w:sz w:val="24"/>
          <w:szCs w:val="24"/>
        </w:rPr>
        <w:t>State ex rel. Boyd v. Green</w:t>
      </w:r>
      <w:r w:rsidRPr="00502584" w:rsidR="007727E2">
        <w:rPr>
          <w:rFonts w:ascii="Times New Roman" w:hAnsi="Times New Roman" w:cs="Times New Roman"/>
          <w:sz w:val="24"/>
          <w:szCs w:val="24"/>
        </w:rPr>
        <w:t>, 355 So. 2d 789, 795 (Fla. 1978)</w:t>
      </w:r>
      <w:r w:rsidR="007727E2">
        <w:rPr>
          <w:rFonts w:ascii="Times New Roman" w:hAnsi="Times New Roman" w:cs="Times New Roman"/>
          <w:sz w:val="24"/>
          <w:szCs w:val="24"/>
        </w:rPr>
        <w:t xml:space="preserve"> (“</w:t>
      </w:r>
      <w:r w:rsidRPr="00502584" w:rsidR="00502584">
        <w:rPr>
          <w:rFonts w:ascii="Times New Roman" w:hAnsi="Times New Roman" w:cs="Times New Roman"/>
          <w:sz w:val="24"/>
          <w:szCs w:val="24"/>
        </w:rPr>
        <w:t>Where a repealing act is adjudged unconstitutional, the statute (or in this case the rule) it attempts to repeal remains in force.</w:t>
      </w:r>
      <w:r w:rsidR="007727E2">
        <w:rPr>
          <w:rFonts w:ascii="Times New Roman" w:hAnsi="Times New Roman" w:cs="Times New Roman"/>
          <w:sz w:val="24"/>
          <w:szCs w:val="24"/>
        </w:rPr>
        <w:t>”).</w:t>
      </w:r>
    </w:p>
    <w:p w:rsidR="00D57EE8" w:rsidP="0044696F" w:rsidRDefault="00D57EE8" w14:paraId="6226E671" w14:textId="77777777">
      <w:pPr>
        <w:pStyle w:val="ListParagraph"/>
        <w:spacing w:after="0" w:line="240" w:lineRule="auto"/>
        <w:ind w:left="0" w:firstLine="720"/>
        <w:jc w:val="both"/>
        <w:rPr>
          <w:rFonts w:ascii="Times New Roman" w:hAnsi="Times New Roman" w:cs="Times New Roman"/>
          <w:sz w:val="24"/>
          <w:szCs w:val="24"/>
        </w:rPr>
      </w:pPr>
    </w:p>
    <w:p w:rsidRPr="00D57EE8" w:rsidR="00D57EE8" w:rsidP="0044696F" w:rsidRDefault="00101D7F" w14:paraId="0963614F" w14:textId="0A316C65">
      <w:pPr>
        <w:pStyle w:val="ListParagraph"/>
        <w:spacing w:after="0" w:line="240" w:lineRule="auto"/>
        <w:ind w:left="0" w:firstLine="720"/>
        <w:jc w:val="both"/>
        <w:rPr>
          <w:rFonts w:ascii="Times New Roman" w:hAnsi="Times New Roman" w:cs="Times New Roman"/>
          <w:sz w:val="24"/>
          <w:szCs w:val="24"/>
        </w:rPr>
      </w:pPr>
      <w:hyperlink w:history="1" r:id="rId12">
        <w:r w:rsidRPr="00502584" w:rsidR="00D57EE8">
          <w:rPr>
            <w:rStyle w:val="Hyperlink"/>
            <w:rFonts w:ascii="Times New Roman" w:hAnsi="Times New Roman" w:cs="Times New Roman"/>
            <w:sz w:val="24"/>
            <w:szCs w:val="24"/>
          </w:rPr>
          <w:t>Chapter 2006-145, Laws of Florida</w:t>
        </w:r>
      </w:hyperlink>
      <w:r w:rsidR="00D57EE8">
        <w:rPr>
          <w:rFonts w:ascii="Times New Roman" w:hAnsi="Times New Roman" w:cs="Times New Roman"/>
          <w:sz w:val="24"/>
          <w:szCs w:val="24"/>
        </w:rPr>
        <w:t xml:space="preserve"> </w:t>
      </w:r>
      <w:r w:rsidR="007727E2">
        <w:rPr>
          <w:rFonts w:ascii="Times New Roman" w:hAnsi="Times New Roman" w:cs="Times New Roman"/>
          <w:sz w:val="24"/>
          <w:szCs w:val="24"/>
        </w:rPr>
        <w:t xml:space="preserve">and </w:t>
      </w:r>
      <w:hyperlink w:history="1" r:id="rId13">
        <w:r w:rsidRPr="007727E2" w:rsidR="007727E2">
          <w:rPr>
            <w:rStyle w:val="Hyperlink"/>
            <w:rFonts w:ascii="Times New Roman" w:hAnsi="Times New Roman" w:cs="Times New Roman"/>
            <w:sz w:val="24"/>
            <w:szCs w:val="24"/>
          </w:rPr>
          <w:t>Chapter 80-322, Laws of Florida</w:t>
        </w:r>
      </w:hyperlink>
      <w:r w:rsidR="007727E2">
        <w:rPr>
          <w:rFonts w:ascii="Times New Roman" w:hAnsi="Times New Roman" w:cs="Times New Roman"/>
          <w:sz w:val="24"/>
          <w:szCs w:val="24"/>
        </w:rPr>
        <w:t xml:space="preserve"> are</w:t>
      </w:r>
      <w:r w:rsidR="00D57EE8">
        <w:rPr>
          <w:rFonts w:ascii="Times New Roman" w:hAnsi="Times New Roman" w:cs="Times New Roman"/>
          <w:sz w:val="24"/>
          <w:szCs w:val="24"/>
        </w:rPr>
        <w:t xml:space="preserve"> included with this white paper as </w:t>
      </w:r>
      <w:r w:rsidRPr="007727E2" w:rsidR="007727E2">
        <w:rPr>
          <w:rFonts w:ascii="Times New Roman" w:hAnsi="Times New Roman" w:cs="Times New Roman"/>
          <w:b/>
          <w:sz w:val="24"/>
          <w:szCs w:val="24"/>
        </w:rPr>
        <w:t xml:space="preserve">Composite </w:t>
      </w:r>
      <w:r w:rsidR="00D57EE8">
        <w:rPr>
          <w:rFonts w:ascii="Times New Roman" w:hAnsi="Times New Roman" w:cs="Times New Roman"/>
          <w:b/>
          <w:sz w:val="24"/>
          <w:szCs w:val="24"/>
        </w:rPr>
        <w:t>Exhibit “B</w:t>
      </w:r>
      <w:r w:rsidR="00D57EE8">
        <w:rPr>
          <w:rFonts w:ascii="Times New Roman" w:hAnsi="Times New Roman" w:cs="Times New Roman"/>
          <w:sz w:val="24"/>
          <w:szCs w:val="24"/>
        </w:rPr>
        <w:t>,</w:t>
      </w:r>
      <w:r w:rsidRPr="00D57EE8" w:rsidR="00D57EE8">
        <w:rPr>
          <w:rFonts w:ascii="Times New Roman" w:hAnsi="Times New Roman" w:cs="Times New Roman"/>
          <w:b/>
          <w:sz w:val="24"/>
          <w:szCs w:val="24"/>
        </w:rPr>
        <w:t>”</w:t>
      </w:r>
      <w:r w:rsidR="00D57EE8">
        <w:rPr>
          <w:rFonts w:ascii="Times New Roman" w:hAnsi="Times New Roman" w:cs="Times New Roman"/>
          <w:b/>
          <w:sz w:val="24"/>
          <w:szCs w:val="24"/>
        </w:rPr>
        <w:t xml:space="preserve"> </w:t>
      </w:r>
      <w:r w:rsidR="00D57EE8">
        <w:rPr>
          <w:rFonts w:ascii="Times New Roman" w:hAnsi="Times New Roman" w:cs="Times New Roman"/>
          <w:sz w:val="24"/>
          <w:szCs w:val="24"/>
        </w:rPr>
        <w:t xml:space="preserve">which include the </w:t>
      </w:r>
      <w:proofErr w:type="spellStart"/>
      <w:r w:rsidR="00D57EE8">
        <w:rPr>
          <w:rFonts w:ascii="Times New Roman" w:hAnsi="Times New Roman" w:cs="Times New Roman"/>
          <w:sz w:val="24"/>
          <w:szCs w:val="24"/>
        </w:rPr>
        <w:t>preambular</w:t>
      </w:r>
      <w:proofErr w:type="spellEnd"/>
      <w:r w:rsidR="00D57EE8">
        <w:rPr>
          <w:rFonts w:ascii="Times New Roman" w:hAnsi="Times New Roman" w:cs="Times New Roman"/>
          <w:sz w:val="24"/>
          <w:szCs w:val="24"/>
        </w:rPr>
        <w:t xml:space="preserve"> findings </w:t>
      </w:r>
      <w:r w:rsidR="007727E2">
        <w:rPr>
          <w:rFonts w:ascii="Times New Roman" w:hAnsi="Times New Roman" w:cs="Times New Roman"/>
          <w:sz w:val="24"/>
          <w:szCs w:val="24"/>
        </w:rPr>
        <w:t xml:space="preserve">of these laws </w:t>
      </w:r>
      <w:r w:rsidR="00D57EE8">
        <w:rPr>
          <w:rFonts w:ascii="Times New Roman" w:hAnsi="Times New Roman" w:cs="Times New Roman"/>
          <w:sz w:val="24"/>
          <w:szCs w:val="24"/>
        </w:rPr>
        <w:t xml:space="preserve">in their entirety.  However, the CLC has declined to draft any such findings, as the making of such findings is the prerogative of the </w:t>
      </w:r>
      <w:r w:rsidR="00FE0A2F">
        <w:rPr>
          <w:rFonts w:ascii="Times New Roman" w:hAnsi="Times New Roman" w:cs="Times New Roman"/>
          <w:sz w:val="24"/>
          <w:szCs w:val="24"/>
        </w:rPr>
        <w:t>l</w:t>
      </w:r>
      <w:r w:rsidR="00D57EE8">
        <w:rPr>
          <w:rFonts w:ascii="Times New Roman" w:hAnsi="Times New Roman" w:cs="Times New Roman"/>
          <w:sz w:val="24"/>
          <w:szCs w:val="24"/>
        </w:rPr>
        <w:t xml:space="preserve">egislature.  </w:t>
      </w:r>
      <w:r w:rsidR="00D57EE8">
        <w:rPr>
          <w:rFonts w:ascii="Times New Roman" w:hAnsi="Times New Roman" w:cs="Times New Roman"/>
          <w:i/>
          <w:sz w:val="24"/>
          <w:szCs w:val="24"/>
        </w:rPr>
        <w:t>See</w:t>
      </w:r>
      <w:r w:rsidR="00D57EE8">
        <w:rPr>
          <w:rFonts w:ascii="Times New Roman" w:hAnsi="Times New Roman" w:cs="Times New Roman"/>
          <w:sz w:val="24"/>
          <w:szCs w:val="24"/>
        </w:rPr>
        <w:t xml:space="preserve"> </w:t>
      </w:r>
      <w:r w:rsidRPr="00D57EE8" w:rsidR="00D57EE8">
        <w:rPr>
          <w:rFonts w:ascii="Times New Roman" w:hAnsi="Times New Roman" w:cs="Times New Roman"/>
          <w:i/>
          <w:sz w:val="24"/>
          <w:szCs w:val="24"/>
        </w:rPr>
        <w:t>Est. of McCall v. United States</w:t>
      </w:r>
      <w:r w:rsidRPr="00D57EE8" w:rsidR="00D57EE8">
        <w:rPr>
          <w:rFonts w:ascii="Times New Roman" w:hAnsi="Times New Roman" w:cs="Times New Roman"/>
          <w:sz w:val="24"/>
          <w:szCs w:val="24"/>
        </w:rPr>
        <w:t>, 134 So. 3d 894, 906 (Fla. 2014)</w:t>
      </w:r>
      <w:r w:rsidR="00D57EE8">
        <w:rPr>
          <w:rFonts w:ascii="Times New Roman" w:hAnsi="Times New Roman" w:cs="Times New Roman"/>
          <w:sz w:val="24"/>
          <w:szCs w:val="24"/>
        </w:rPr>
        <w:t xml:space="preserve"> (“</w:t>
      </w:r>
      <w:r w:rsidRPr="00D57EE8" w:rsidR="00D57EE8">
        <w:rPr>
          <w:rFonts w:ascii="Times New Roman" w:hAnsi="Times New Roman" w:cs="Times New Roman"/>
          <w:sz w:val="24"/>
          <w:szCs w:val="24"/>
        </w:rPr>
        <w:t>While courts may defer to legislative statements of policy and fact, courts may do so only when those statements are based on actual findings of fact</w:t>
      </w:r>
      <w:r w:rsidR="00D57EE8">
        <w:rPr>
          <w:rFonts w:ascii="Times New Roman" w:hAnsi="Times New Roman" w:cs="Times New Roman"/>
          <w:sz w:val="24"/>
          <w:szCs w:val="24"/>
        </w:rPr>
        <w:t>”).</w:t>
      </w:r>
    </w:p>
    <w:p w:rsidRPr="00B2378D" w:rsidR="00B2378D" w:rsidP="00B2378D" w:rsidRDefault="00B2378D" w14:paraId="4498C886" w14:textId="77777777">
      <w:pPr>
        <w:spacing w:after="0" w:line="240" w:lineRule="auto"/>
        <w:jc w:val="both"/>
        <w:rPr>
          <w:rFonts w:ascii="Times New Roman" w:hAnsi="Times New Roman" w:cs="Times New Roman"/>
          <w:sz w:val="24"/>
          <w:szCs w:val="24"/>
        </w:rPr>
      </w:pPr>
    </w:p>
    <w:p w:rsidRPr="00847CCC" w:rsidR="00B2378D" w:rsidP="00B2378D" w:rsidRDefault="00B2378D" w14:paraId="345198B1" w14:textId="77777777">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OTHER INTERESTED PARTIES</w:t>
      </w:r>
    </w:p>
    <w:p w:rsidR="00847CCC" w:rsidP="00847CCC" w:rsidRDefault="00847CCC" w14:paraId="395B9A3D" w14:textId="77777777">
      <w:pPr>
        <w:spacing w:after="0" w:line="240" w:lineRule="auto"/>
        <w:jc w:val="both"/>
        <w:rPr>
          <w:rFonts w:ascii="Times New Roman" w:hAnsi="Times New Roman" w:cs="Times New Roman"/>
          <w:b/>
          <w:sz w:val="24"/>
          <w:szCs w:val="24"/>
        </w:rPr>
      </w:pPr>
    </w:p>
    <w:p w:rsidR="00166FD8" w:rsidP="00847CCC" w:rsidRDefault="00166FD8" w14:paraId="0A38EB22"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Commercial Real Estate Committee, RPPTL Section of the Florida Bar</w:t>
      </w:r>
    </w:p>
    <w:p w:rsidR="00847CCC" w:rsidP="00847CCC" w:rsidRDefault="00847CCC" w14:paraId="44A12A14" w14:textId="77777777">
      <w:pPr>
        <w:spacing w:after="0" w:line="240" w:lineRule="auto"/>
        <w:jc w:val="both"/>
        <w:rPr>
          <w:rFonts w:ascii="Times New Roman" w:hAnsi="Times New Roman" w:cs="Times New Roman"/>
          <w:sz w:val="24"/>
          <w:szCs w:val="24"/>
        </w:rPr>
      </w:pPr>
      <w:r w:rsidRPr="00847CCC">
        <w:rPr>
          <w:rFonts w:ascii="Times New Roman" w:hAnsi="Times New Roman" w:cs="Times New Roman"/>
          <w:sz w:val="24"/>
          <w:szCs w:val="24"/>
        </w:rPr>
        <w:t>Con</w:t>
      </w:r>
      <w:r>
        <w:rPr>
          <w:rFonts w:ascii="Times New Roman" w:hAnsi="Times New Roman" w:cs="Times New Roman"/>
          <w:sz w:val="24"/>
          <w:szCs w:val="24"/>
        </w:rPr>
        <w:t>dominium &amp; Planned Unit Development Committee, RPPTL Section of the Florida Bar</w:t>
      </w:r>
    </w:p>
    <w:p w:rsidR="00847CCC" w:rsidP="00847CCC" w:rsidRDefault="00847CCC" w14:paraId="75D819FA"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Development and Land Use Committee, RPPTL Section of the Florida Bar</w:t>
      </w:r>
    </w:p>
    <w:p w:rsidR="00847CCC" w:rsidP="00847CCC" w:rsidRDefault="00847CCC" w14:paraId="7E698E6B"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Insurance and Surety Committee, RPPTL Section of the Florida Bar</w:t>
      </w:r>
    </w:p>
    <w:p w:rsidR="00847CCC" w:rsidP="00847CCC" w:rsidRDefault="00847CCC" w14:paraId="32898FCA"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Real Property Litigation Committee, RPPTL Section of the Florida Bar</w:t>
      </w:r>
    </w:p>
    <w:p w:rsidR="00166FD8" w:rsidP="00847CCC" w:rsidRDefault="00166FD8" w14:paraId="625E0808"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Real Property Problems Study Committee, RPPTL Section of the Florida Bar</w:t>
      </w:r>
    </w:p>
    <w:p w:rsidR="00075BF4" w:rsidP="00847CCC" w:rsidRDefault="00075BF4" w14:paraId="4C66F7F7"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Legislative Committee, RPPTL Section of the Florida Bar</w:t>
      </w:r>
    </w:p>
    <w:p w:rsidR="00847CCC" w:rsidP="00847CCC" w:rsidRDefault="00847CCC" w14:paraId="2543AF80"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Business Litigation Committee, Business Law Section of the Florida Bar</w:t>
      </w:r>
    </w:p>
    <w:p w:rsidR="00847CCC" w:rsidP="00847CCC" w:rsidRDefault="00166FD8" w14:paraId="30B08323"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Trial Lawyer</w:t>
      </w:r>
      <w:r w:rsidR="00847CCC">
        <w:rPr>
          <w:rFonts w:ascii="Times New Roman" w:hAnsi="Times New Roman" w:cs="Times New Roman"/>
          <w:sz w:val="24"/>
          <w:szCs w:val="24"/>
        </w:rPr>
        <w:t>s Section of the Florida Bar</w:t>
      </w:r>
    </w:p>
    <w:p w:rsidR="007A481B" w:rsidP="00847CCC" w:rsidRDefault="007A481B" w14:paraId="7EA3B40C"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Ball </w:t>
      </w:r>
      <w:proofErr w:type="spellStart"/>
      <w:r>
        <w:rPr>
          <w:rFonts w:ascii="Times New Roman" w:hAnsi="Times New Roman" w:cs="Times New Roman"/>
          <w:sz w:val="24"/>
          <w:szCs w:val="24"/>
        </w:rPr>
        <w:t>Janik</w:t>
      </w:r>
      <w:proofErr w:type="spellEnd"/>
      <w:r>
        <w:rPr>
          <w:rFonts w:ascii="Times New Roman" w:hAnsi="Times New Roman" w:cs="Times New Roman"/>
          <w:sz w:val="24"/>
          <w:szCs w:val="24"/>
        </w:rPr>
        <w:t xml:space="preserve"> LLP*</w:t>
      </w:r>
    </w:p>
    <w:p w:rsidR="007A481B" w:rsidP="00847CCC" w:rsidRDefault="007A481B" w14:paraId="693F247F"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Becker &amp; </w:t>
      </w:r>
      <w:proofErr w:type="spellStart"/>
      <w:r>
        <w:rPr>
          <w:rFonts w:ascii="Times New Roman" w:hAnsi="Times New Roman" w:cs="Times New Roman"/>
          <w:sz w:val="24"/>
          <w:szCs w:val="24"/>
        </w:rPr>
        <w:t>Poliakoff</w:t>
      </w:r>
      <w:proofErr w:type="spellEnd"/>
      <w:r>
        <w:rPr>
          <w:rFonts w:ascii="Times New Roman" w:hAnsi="Times New Roman" w:cs="Times New Roman"/>
          <w:sz w:val="24"/>
          <w:szCs w:val="24"/>
        </w:rPr>
        <w:t xml:space="preserve"> P.A.*</w:t>
      </w:r>
    </w:p>
    <w:p w:rsidR="00847CCC" w:rsidP="00847CCC" w:rsidRDefault="00847CCC" w14:paraId="36680AF5"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Florida Justice Association</w:t>
      </w:r>
      <w:r w:rsidR="007A481B">
        <w:rPr>
          <w:rFonts w:ascii="Times New Roman" w:hAnsi="Times New Roman" w:cs="Times New Roman"/>
          <w:sz w:val="24"/>
          <w:szCs w:val="24"/>
        </w:rPr>
        <w:t>*</w:t>
      </w:r>
    </w:p>
    <w:p w:rsidR="000367D8" w:rsidP="000367D8" w:rsidRDefault="000367D8" w14:paraId="50792548"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Florida Justice Reform Institute</w:t>
      </w:r>
      <w:r w:rsidR="007A481B">
        <w:rPr>
          <w:rFonts w:ascii="Times New Roman" w:hAnsi="Times New Roman" w:cs="Times New Roman"/>
          <w:sz w:val="24"/>
          <w:szCs w:val="24"/>
        </w:rPr>
        <w:t>*</w:t>
      </w:r>
    </w:p>
    <w:p w:rsidR="00847CCC" w:rsidP="00847CCC" w:rsidRDefault="00847CCC" w14:paraId="5298118C"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Florida Defense Lawyers Association</w:t>
      </w:r>
    </w:p>
    <w:p w:rsidR="00166FD8" w:rsidP="00166FD8" w:rsidRDefault="00166FD8" w14:paraId="2EE61242"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AIA Florida</w:t>
      </w:r>
    </w:p>
    <w:p w:rsidR="00166FD8" w:rsidP="00166FD8" w:rsidRDefault="00166FD8" w14:paraId="4B57451E"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American Planning Association, Florida Chapter</w:t>
      </w:r>
    </w:p>
    <w:p w:rsidR="00166FD8" w:rsidP="00166FD8" w:rsidRDefault="00166FD8" w14:paraId="6E037340"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Amer</w:t>
      </w:r>
      <w:r w:rsidR="007B120C">
        <w:rPr>
          <w:rFonts w:ascii="Times New Roman" w:hAnsi="Times New Roman" w:cs="Times New Roman"/>
          <w:sz w:val="24"/>
          <w:szCs w:val="24"/>
        </w:rPr>
        <w:t xml:space="preserve">ican Fire Sprinkler Association, </w:t>
      </w:r>
      <w:r>
        <w:rPr>
          <w:rFonts w:ascii="Times New Roman" w:hAnsi="Times New Roman" w:cs="Times New Roman"/>
          <w:sz w:val="24"/>
          <w:szCs w:val="24"/>
        </w:rPr>
        <w:t>Florida Chapter</w:t>
      </w:r>
      <w:r w:rsidR="007A481B">
        <w:rPr>
          <w:rFonts w:ascii="Times New Roman" w:hAnsi="Times New Roman" w:cs="Times New Roman"/>
          <w:sz w:val="24"/>
          <w:szCs w:val="24"/>
        </w:rPr>
        <w:t>*</w:t>
      </w:r>
    </w:p>
    <w:p w:rsidR="00166FD8" w:rsidP="00166FD8" w:rsidRDefault="00166FD8" w14:paraId="156958E9"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ASCE Florida Section</w:t>
      </w:r>
    </w:p>
    <w:p w:rsidR="00166FD8" w:rsidP="00166FD8" w:rsidRDefault="00166FD8" w14:paraId="0584A376"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Associated Builders &amp; Contractors of Florida</w:t>
      </w:r>
      <w:r w:rsidR="007A481B">
        <w:rPr>
          <w:rFonts w:ascii="Times New Roman" w:hAnsi="Times New Roman" w:cs="Times New Roman"/>
          <w:sz w:val="24"/>
          <w:szCs w:val="24"/>
        </w:rPr>
        <w:t>*</w:t>
      </w:r>
    </w:p>
    <w:p w:rsidR="00166FD8" w:rsidP="00166FD8" w:rsidRDefault="00166FD8" w14:paraId="4C7F9DEA"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Associ</w:t>
      </w:r>
      <w:r w:rsidR="007B120C">
        <w:rPr>
          <w:rFonts w:ascii="Times New Roman" w:hAnsi="Times New Roman" w:cs="Times New Roman"/>
          <w:sz w:val="24"/>
          <w:szCs w:val="24"/>
        </w:rPr>
        <w:t>ated Industries of Florida</w:t>
      </w:r>
      <w:r w:rsidR="007A481B">
        <w:rPr>
          <w:rFonts w:ascii="Times New Roman" w:hAnsi="Times New Roman" w:cs="Times New Roman"/>
          <w:sz w:val="24"/>
          <w:szCs w:val="24"/>
        </w:rPr>
        <w:t>*</w:t>
      </w:r>
    </w:p>
    <w:p w:rsidR="00847CCC" w:rsidP="00847CCC" w:rsidRDefault="00847CCC" w14:paraId="56D9EEC0"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Florida Associated General Contractor’s Council</w:t>
      </w:r>
      <w:r w:rsidR="007A481B">
        <w:rPr>
          <w:rFonts w:ascii="Times New Roman" w:hAnsi="Times New Roman" w:cs="Times New Roman"/>
          <w:sz w:val="24"/>
          <w:szCs w:val="24"/>
        </w:rPr>
        <w:t>*</w:t>
      </w:r>
    </w:p>
    <w:p w:rsidR="00166FD8" w:rsidP="00166FD8" w:rsidRDefault="00166FD8" w14:paraId="01A9264D"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Florida Engineering Association</w:t>
      </w:r>
    </w:p>
    <w:p w:rsidR="00075BF4" w:rsidP="00847CCC" w:rsidRDefault="00075BF4" w14:paraId="512F16B0"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Florida Home Builders Association</w:t>
      </w:r>
    </w:p>
    <w:p w:rsidRPr="00847CCC" w:rsidR="00166FD8" w:rsidP="00166FD8" w:rsidRDefault="00166FD8" w14:paraId="1686390E"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Florida League of Cities</w:t>
      </w:r>
    </w:p>
    <w:p w:rsidR="00166FD8" w:rsidP="00166FD8" w:rsidRDefault="00166FD8" w14:paraId="3647883B"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Florida Refrigeration and Air Conditioning Contractor’s Association</w:t>
      </w:r>
      <w:r w:rsidR="007A481B">
        <w:rPr>
          <w:rFonts w:ascii="Times New Roman" w:hAnsi="Times New Roman" w:cs="Times New Roman"/>
          <w:sz w:val="24"/>
          <w:szCs w:val="24"/>
        </w:rPr>
        <w:t>*</w:t>
      </w:r>
    </w:p>
    <w:p w:rsidR="00166FD8" w:rsidP="00166FD8" w:rsidRDefault="00166FD8" w14:paraId="71421779"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Florida Surety Association</w:t>
      </w:r>
      <w:r w:rsidR="007A481B">
        <w:rPr>
          <w:rFonts w:ascii="Times New Roman" w:hAnsi="Times New Roman" w:cs="Times New Roman"/>
          <w:sz w:val="24"/>
          <w:szCs w:val="24"/>
        </w:rPr>
        <w:t>*</w:t>
      </w:r>
    </w:p>
    <w:p w:rsidR="00075BF4" w:rsidP="00847CCC" w:rsidRDefault="00075BF4" w14:paraId="0F8B6735"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Florida Transportation Builders Association</w:t>
      </w:r>
    </w:p>
    <w:p w:rsidR="007A481B" w:rsidP="00847CCC" w:rsidRDefault="007A481B" w14:paraId="7203259B" w14:textId="799A6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Highland Homes</w:t>
      </w:r>
      <w:r w:rsidR="000A003F">
        <w:rPr>
          <w:rFonts w:ascii="Times New Roman" w:hAnsi="Times New Roman" w:cs="Times New Roman"/>
          <w:sz w:val="24"/>
          <w:szCs w:val="24"/>
        </w:rPr>
        <w:t>*</w:t>
      </w:r>
    </w:p>
    <w:p w:rsidR="007A481B" w:rsidP="00847CCC" w:rsidRDefault="007A481B" w14:paraId="7DC6A4D7"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Miami-Dade County*</w:t>
      </w:r>
    </w:p>
    <w:p w:rsidR="007A481B" w:rsidP="00847CCC" w:rsidRDefault="007A481B" w14:paraId="48AEBDEC" w14:textId="77777777">
      <w:pPr>
        <w:spacing w:after="0" w:line="240" w:lineRule="auto"/>
        <w:jc w:val="both"/>
        <w:rPr>
          <w:rFonts w:ascii="Times New Roman" w:hAnsi="Times New Roman" w:cs="Times New Roman"/>
          <w:sz w:val="24"/>
          <w:szCs w:val="24"/>
        </w:rPr>
      </w:pPr>
    </w:p>
    <w:p w:rsidRPr="007A481B" w:rsidR="007A481B" w:rsidP="00847CCC" w:rsidRDefault="007A481B" w14:paraId="72B8DD46" w14:textId="7777777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*Denotes lobbyist</w:t>
      </w:r>
      <w:r w:rsidR="00D4514F">
        <w:rPr>
          <w:rFonts w:ascii="Times New Roman" w:hAnsi="Times New Roman" w:cs="Times New Roman"/>
          <w:i/>
          <w:sz w:val="24"/>
          <w:szCs w:val="24"/>
        </w:rPr>
        <w:t>s disclosed for HB 85 or SB 360</w:t>
      </w:r>
      <w:r>
        <w:rPr>
          <w:rFonts w:ascii="Times New Roman" w:hAnsi="Times New Roman" w:cs="Times New Roman"/>
          <w:i/>
          <w:sz w:val="24"/>
          <w:szCs w:val="24"/>
        </w:rPr>
        <w:t xml:space="preserve"> </w:t>
      </w:r>
      <w:r w:rsidR="00D4514F">
        <w:rPr>
          <w:rFonts w:ascii="Times New Roman" w:hAnsi="Times New Roman" w:cs="Times New Roman"/>
          <w:i/>
          <w:sz w:val="24"/>
          <w:szCs w:val="24"/>
        </w:rPr>
        <w:t>(</w:t>
      </w:r>
      <w:r>
        <w:rPr>
          <w:rFonts w:ascii="Times New Roman" w:hAnsi="Times New Roman" w:cs="Times New Roman"/>
          <w:i/>
          <w:sz w:val="24"/>
          <w:szCs w:val="24"/>
        </w:rPr>
        <w:t>2023</w:t>
      </w:r>
      <w:r w:rsidR="00D4514F">
        <w:rPr>
          <w:rFonts w:ascii="Times New Roman" w:hAnsi="Times New Roman" w:cs="Times New Roman"/>
          <w:i/>
          <w:sz w:val="24"/>
          <w:szCs w:val="24"/>
        </w:rPr>
        <w:t>)</w:t>
      </w:r>
    </w:p>
    <w:p w:rsidR="00042693" w:rsidRDefault="00042693" w14:paraId="390DBEC4" w14:textId="13720DDA">
      <w:pPr>
        <w:rPr>
          <w:rFonts w:ascii="Times New Roman" w:hAnsi="Times New Roman" w:cs="Times New Roman"/>
          <w:sz w:val="24"/>
          <w:szCs w:val="24"/>
        </w:rPr>
      </w:pPr>
      <w:r>
        <w:rPr>
          <w:rFonts w:ascii="Times New Roman" w:hAnsi="Times New Roman" w:cs="Times New Roman"/>
          <w:sz w:val="24"/>
          <w:szCs w:val="24"/>
        </w:rPr>
        <w:br w:type="page"/>
      </w:r>
    </w:p>
    <w:p w:rsidR="00042693" w:rsidP="00042693" w:rsidRDefault="00042693" w14:paraId="198A0DB5" w14:textId="30EF1675">
      <w:pPr>
        <w:spacing w:after="0" w:line="240" w:lineRule="auto"/>
        <w:jc w:val="center"/>
        <w:rPr>
          <w:rFonts w:ascii="Times New Roman" w:hAnsi="Times New Roman" w:cs="Times New Roman"/>
          <w:b/>
          <w:sz w:val="24"/>
          <w:szCs w:val="24"/>
        </w:rPr>
      </w:pPr>
      <w:r w:rsidRPr="00042693">
        <w:rPr>
          <w:rFonts w:ascii="Times New Roman" w:hAnsi="Times New Roman" w:cs="Times New Roman"/>
          <w:b/>
          <w:sz w:val="24"/>
          <w:szCs w:val="24"/>
        </w:rPr>
        <w:lastRenderedPageBreak/>
        <w:t>COMPOSITE EXHIBIT “A”</w:t>
      </w:r>
    </w:p>
    <w:p w:rsidR="00042693" w:rsidRDefault="00042693" w14:paraId="5F3D54F4"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042693" w:rsidR="00B2378D" w:rsidP="00042693" w:rsidRDefault="00042693" w14:paraId="58AAF112" w14:textId="76993816">
      <w:pPr>
        <w:spacing w:after="0" w:line="240" w:lineRule="auto"/>
        <w:jc w:val="center"/>
        <w:rPr>
          <w:rFonts w:ascii="Times New Roman" w:hAnsi="Times New Roman" w:cs="Times New Roman"/>
          <w:b/>
          <w:sz w:val="24"/>
          <w:szCs w:val="24"/>
        </w:rPr>
      </w:pPr>
      <w:r w:rsidRPr="00042693">
        <w:rPr>
          <w:rFonts w:ascii="Times New Roman" w:hAnsi="Times New Roman" w:cs="Times New Roman"/>
          <w:b/>
          <w:sz w:val="24"/>
          <w:szCs w:val="24"/>
        </w:rPr>
        <w:lastRenderedPageBreak/>
        <w:t>COMPOSITE EXHIBIT “</w:t>
      </w:r>
      <w:r>
        <w:rPr>
          <w:rFonts w:ascii="Times New Roman" w:hAnsi="Times New Roman" w:cs="Times New Roman"/>
          <w:b/>
          <w:sz w:val="24"/>
          <w:szCs w:val="24"/>
        </w:rPr>
        <w:t>B</w:t>
      </w:r>
      <w:r w:rsidRPr="00042693">
        <w:rPr>
          <w:rFonts w:ascii="Times New Roman" w:hAnsi="Times New Roman" w:cs="Times New Roman"/>
          <w:b/>
          <w:sz w:val="24"/>
          <w:szCs w:val="24"/>
        </w:rPr>
        <w:t>”</w:t>
      </w:r>
    </w:p>
    <w:sectPr w:rsidRPr="00042693" w:rsidR="00B2378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78D" w:rsidP="00B2378D" w:rsidRDefault="00B2378D" w14:paraId="39880E5D" w14:textId="77777777">
      <w:pPr>
        <w:spacing w:after="0" w:line="240" w:lineRule="auto"/>
      </w:pPr>
      <w:r>
        <w:separator/>
      </w:r>
    </w:p>
  </w:endnote>
  <w:endnote w:type="continuationSeparator" w:id="0">
    <w:p w:rsidR="00B2378D" w:rsidP="00B2378D" w:rsidRDefault="00B2378D" w14:paraId="7A5B17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7B" w:rsidRDefault="0061557B" w14:paraId="292902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579674"/>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rsidRPr="00042693" w:rsidR="00042693" w:rsidP="00042693" w:rsidRDefault="00101D7F" w14:paraId="3708834C" w14:textId="68A24BF9">
            <w:pPr>
              <w:pStyle w:val="Footer"/>
              <w:rPr>
                <w:rFonts w:ascii="Times New Roman" w:hAnsi="Times New Roman" w:cs="Times New Roman"/>
              </w:rPr>
            </w:pPr>
            <w:r w:rsidRPr="00101D7F">
              <w:rPr>
                <w:rFonts w:ascii="Times New Roman" w:hAnsi="Times New Roman" w:cs="Times New Roman"/>
                <w:sz w:val="16"/>
              </w:rPr>
              <w:t>#30547060v3</w:t>
            </w:r>
            <w:r w:rsidR="00042693">
              <w:tab/>
            </w:r>
            <w:r w:rsidR="00042693">
              <w:tab/>
            </w:r>
          </w:p>
        </w:sdtContent>
      </w:sdt>
    </w:sdtContent>
  </w:sdt>
  <w:p w:rsidR="008112BA" w:rsidP="008112BA" w:rsidRDefault="008112BA" w14:paraId="39C8ACDB" w14:textId="13B8E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7B" w:rsidRDefault="0061557B" w14:paraId="49759E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78D" w:rsidP="00B2378D" w:rsidRDefault="00B2378D" w14:paraId="5B49A53D" w14:textId="77777777">
      <w:pPr>
        <w:spacing w:after="0" w:line="240" w:lineRule="auto"/>
      </w:pPr>
      <w:r>
        <w:separator/>
      </w:r>
    </w:p>
  </w:footnote>
  <w:footnote w:type="continuationSeparator" w:id="0">
    <w:p w:rsidR="00B2378D" w:rsidP="00B2378D" w:rsidRDefault="00B2378D" w14:paraId="5F78211B" w14:textId="77777777">
      <w:pPr>
        <w:spacing w:after="0" w:line="240" w:lineRule="auto"/>
      </w:pPr>
      <w:r>
        <w:continuationSeparator/>
      </w:r>
    </w:p>
  </w:footnote>
  <w:footnote w:id="1">
    <w:p w:rsidRPr="00AE7BC0" w:rsidR="00472717" w:rsidP="000A003F" w:rsidRDefault="00472717" w14:paraId="59917899" w14:textId="463809D3">
      <w:pPr>
        <w:pStyle w:val="FootnoteText"/>
        <w:spacing w:before="120"/>
        <w:rPr>
          <w:rFonts w:ascii="Times New Roman" w:hAnsi="Times New Roman" w:cs="Times New Roman"/>
        </w:rPr>
      </w:pPr>
      <w:r w:rsidRPr="00AE7BC0">
        <w:rPr>
          <w:rStyle w:val="FootnoteReference"/>
          <w:rFonts w:ascii="Times New Roman" w:hAnsi="Times New Roman" w:cs="Times New Roman"/>
        </w:rPr>
        <w:footnoteRef/>
      </w:r>
      <w:r w:rsidRPr="00AE7BC0">
        <w:rPr>
          <w:rFonts w:ascii="Times New Roman" w:hAnsi="Times New Roman" w:cs="Times New Roman"/>
        </w:rPr>
        <w:t xml:space="preserve"> Paragraph (3</w:t>
      </w:r>
      <w:proofErr w:type="gramStart"/>
      <w:r w:rsidRPr="00AE7BC0">
        <w:rPr>
          <w:rFonts w:ascii="Times New Roman" w:hAnsi="Times New Roman" w:cs="Times New Roman"/>
        </w:rPr>
        <w:t>)(</w:t>
      </w:r>
      <w:proofErr w:type="gramEnd"/>
      <w:r w:rsidRPr="00AE7BC0">
        <w:rPr>
          <w:rFonts w:ascii="Times New Roman" w:hAnsi="Times New Roman" w:cs="Times New Roman"/>
        </w:rPr>
        <w:t xml:space="preserve">c) of s. 95.11, Florida Statutes (2022) was </w:t>
      </w:r>
      <w:proofErr w:type="spellStart"/>
      <w:r w:rsidRPr="00AE7BC0">
        <w:rPr>
          <w:rFonts w:ascii="Times New Roman" w:hAnsi="Times New Roman" w:cs="Times New Roman"/>
        </w:rPr>
        <w:t>redesignated</w:t>
      </w:r>
      <w:proofErr w:type="spellEnd"/>
      <w:r w:rsidRPr="00AE7BC0">
        <w:rPr>
          <w:rFonts w:ascii="Times New Roman" w:hAnsi="Times New Roman" w:cs="Times New Roman"/>
        </w:rPr>
        <w:t xml:space="preserve"> as paragraph (3)(b) by s. 3, </w:t>
      </w:r>
      <w:proofErr w:type="spellStart"/>
      <w:r w:rsidRPr="00AE7BC0">
        <w:rPr>
          <w:rFonts w:ascii="Times New Roman" w:hAnsi="Times New Roman" w:cs="Times New Roman"/>
        </w:rPr>
        <w:t>ch.</w:t>
      </w:r>
      <w:proofErr w:type="spellEnd"/>
      <w:r w:rsidRPr="00AE7BC0">
        <w:rPr>
          <w:rFonts w:ascii="Times New Roman" w:hAnsi="Times New Roman" w:cs="Times New Roman"/>
        </w:rPr>
        <w:t xml:space="preserve"> 2023-15</w:t>
      </w:r>
      <w:r w:rsidR="00960048">
        <w:rPr>
          <w:rFonts w:ascii="Times New Roman" w:hAnsi="Times New Roman" w:cs="Times New Roman"/>
        </w:rPr>
        <w:t>, Laws of Florida</w:t>
      </w:r>
      <w:r w:rsidRPr="00AE7BC0">
        <w:rPr>
          <w:rFonts w:ascii="Times New Roman" w:hAnsi="Times New Roman" w:cs="Times New Roman"/>
        </w:rPr>
        <w:t>.</w:t>
      </w:r>
    </w:p>
  </w:footnote>
  <w:footnote w:id="2">
    <w:p w:rsidRPr="002D74F5" w:rsidR="00AE7BC0" w:rsidP="000A003F" w:rsidRDefault="00AE7BC0" w14:paraId="3CCC7154" w14:textId="2AC46CB0">
      <w:pPr>
        <w:pStyle w:val="FootnoteText"/>
        <w:spacing w:before="120"/>
      </w:pPr>
      <w:r w:rsidRPr="00AE7BC0">
        <w:rPr>
          <w:rStyle w:val="FootnoteReference"/>
          <w:rFonts w:ascii="Times New Roman" w:hAnsi="Times New Roman" w:cs="Times New Roman"/>
        </w:rPr>
        <w:footnoteRef/>
      </w:r>
      <w:r w:rsidRPr="00AE7BC0">
        <w:rPr>
          <w:rFonts w:ascii="Times New Roman" w:hAnsi="Times New Roman" w:cs="Times New Roman"/>
        </w:rPr>
        <w:t xml:space="preserve"> </w:t>
      </w:r>
      <w:proofErr w:type="gramStart"/>
      <w:r w:rsidRPr="00AE7BC0">
        <w:rPr>
          <w:rFonts w:ascii="Times New Roman" w:hAnsi="Times New Roman" w:cs="Times New Roman"/>
        </w:rPr>
        <w:t xml:space="preserve">This white paper </w:t>
      </w:r>
      <w:r w:rsidRPr="002A02F9">
        <w:rPr>
          <w:rFonts w:ascii="Times New Roman" w:hAnsi="Times New Roman" w:cs="Times New Roman"/>
          <w:i/>
        </w:rPr>
        <w:t>does not</w:t>
      </w:r>
      <w:r w:rsidRPr="00AE7BC0">
        <w:rPr>
          <w:rFonts w:ascii="Times New Roman" w:hAnsi="Times New Roman" w:cs="Times New Roman"/>
        </w:rPr>
        <w:t xml:space="preserve"> propose revisions to </w:t>
      </w:r>
      <w:r w:rsidR="002A02F9">
        <w:rPr>
          <w:rFonts w:ascii="Times New Roman" w:hAnsi="Times New Roman" w:cs="Times New Roman"/>
        </w:rPr>
        <w:t>any of the following portions of s. 95.11(3)(b), Fla. Stat. (2023): (</w:t>
      </w:r>
      <w:proofErr w:type="spellStart"/>
      <w:r w:rsidR="002A02F9">
        <w:rPr>
          <w:rFonts w:ascii="Times New Roman" w:hAnsi="Times New Roman" w:cs="Times New Roman"/>
        </w:rPr>
        <w:t>i</w:t>
      </w:r>
      <w:proofErr w:type="spellEnd"/>
      <w:r w:rsidR="002A02F9">
        <w:rPr>
          <w:rFonts w:ascii="Times New Roman" w:hAnsi="Times New Roman" w:cs="Times New Roman"/>
        </w:rPr>
        <w:t xml:space="preserve">) </w:t>
      </w:r>
      <w:r w:rsidRPr="00AE7BC0">
        <w:rPr>
          <w:rFonts w:ascii="Times New Roman" w:hAnsi="Times New Roman" w:cs="Times New Roman"/>
        </w:rPr>
        <w:t>the shortening of the repose period from 10 to 7 years, s</w:t>
      </w:r>
      <w:r w:rsidRPr="00AE7BC0">
        <w:rPr>
          <w:rFonts w:ascii="Times New Roman" w:hAnsi="Times New Roman" w:cs="Times New Roman"/>
          <w:i/>
        </w:rPr>
        <w:t>ee</w:t>
      </w:r>
      <w:r w:rsidRPr="00AE7BC0">
        <w:rPr>
          <w:rFonts w:ascii="Times New Roman" w:hAnsi="Times New Roman" w:cs="Times New Roman"/>
        </w:rPr>
        <w:t xml:space="preserve"> </w:t>
      </w:r>
      <w:r w:rsidRPr="00AE7BC0">
        <w:rPr>
          <w:rFonts w:ascii="Times New Roman" w:hAnsi="Times New Roman" w:cs="Times New Roman"/>
          <w:i/>
        </w:rPr>
        <w:t>CS for SB 360</w:t>
      </w:r>
      <w:r w:rsidRPr="00AE7BC0">
        <w:rPr>
          <w:rFonts w:ascii="Times New Roman" w:hAnsi="Times New Roman" w:cs="Times New Roman"/>
        </w:rPr>
        <w:t xml:space="preserve">, pg. 2, l. 6 </w:t>
      </w:r>
      <w:r w:rsidR="002A02F9">
        <w:rPr>
          <w:rFonts w:ascii="Times New Roman" w:hAnsi="Times New Roman" w:cs="Times New Roman"/>
        </w:rPr>
        <w:t>(Enrolled Mar. 29, 2023); (ii)</w:t>
      </w:r>
      <w:r w:rsidRPr="00AE7BC0">
        <w:rPr>
          <w:rFonts w:ascii="Times New Roman" w:hAnsi="Times New Roman" w:cs="Times New Roman"/>
        </w:rPr>
        <w:t xml:space="preserve"> the “clock starter” revisions associated with newly constructed single-dwelling residential buildings, or the modified definition of “improvements to real property” for multi-building developments, s</w:t>
      </w:r>
      <w:r w:rsidRPr="00AE7BC0">
        <w:rPr>
          <w:rFonts w:ascii="Times New Roman" w:hAnsi="Times New Roman" w:cs="Times New Roman"/>
          <w:i/>
        </w:rPr>
        <w:t>ee</w:t>
      </w:r>
      <w:r w:rsidRPr="00AE7BC0">
        <w:rPr>
          <w:rFonts w:ascii="Times New Roman" w:hAnsi="Times New Roman" w:cs="Times New Roman"/>
        </w:rPr>
        <w:t xml:space="preserve"> </w:t>
      </w:r>
      <w:r w:rsidRPr="00AE7BC0">
        <w:rPr>
          <w:rFonts w:ascii="Times New Roman" w:hAnsi="Times New Roman" w:cs="Times New Roman"/>
          <w:i/>
        </w:rPr>
        <w:t>CS for SB 360</w:t>
      </w:r>
      <w:r w:rsidRPr="00AE7BC0">
        <w:rPr>
          <w:rFonts w:ascii="Times New Roman" w:hAnsi="Times New Roman" w:cs="Times New Roman"/>
        </w:rPr>
        <w:t>, pg. 3, l. 61-</w:t>
      </w:r>
      <w:r w:rsidR="002A02F9">
        <w:rPr>
          <w:rFonts w:ascii="Times New Roman" w:hAnsi="Times New Roman" w:cs="Times New Roman"/>
        </w:rPr>
        <w:t>63 and 65-69; (iii)</w:t>
      </w:r>
      <w:r w:rsidRPr="00AE7BC0">
        <w:rPr>
          <w:rFonts w:ascii="Times New Roman" w:hAnsi="Times New Roman" w:cs="Times New Roman"/>
        </w:rPr>
        <w:t xml:space="preserve"> the definition of “material violation” of Florida’s Building Code, </w:t>
      </w:r>
      <w:r w:rsidRPr="00AE7BC0">
        <w:rPr>
          <w:rFonts w:ascii="Times New Roman" w:hAnsi="Times New Roman" w:cs="Times New Roman"/>
          <w:i/>
        </w:rPr>
        <w:t>see CS for SB 360</w:t>
      </w:r>
      <w:r w:rsidRPr="00AE7BC0">
        <w:rPr>
          <w:rFonts w:ascii="Times New Roman" w:hAnsi="Times New Roman" w:cs="Times New Roman"/>
        </w:rPr>
        <w:t>, pg. 3, l. 79 and 82; pg. 4, l. 90-95)</w:t>
      </w:r>
      <w:r w:rsidR="002A02F9">
        <w:rPr>
          <w:rFonts w:ascii="Times New Roman" w:hAnsi="Times New Roman" w:cs="Times New Roman"/>
        </w:rPr>
        <w:t>; (iv) or its</w:t>
      </w:r>
      <w:r w:rsidRPr="00AE7BC0">
        <w:rPr>
          <w:rFonts w:ascii="Times New Roman" w:hAnsi="Times New Roman" w:cs="Times New Roman"/>
        </w:rPr>
        <w:t xml:space="preserve"> “savings clause” (pg. 4, l. 96-104).</w:t>
      </w:r>
      <w:proofErr w:type="gramEnd"/>
      <w:r w:rsidRPr="00AE7BC0">
        <w:rPr>
          <w:rFonts w:ascii="Times New Roman" w:hAnsi="Times New Roman" w:cs="Times New Roman"/>
        </w:rPr>
        <w:t xml:space="preserve">  </w:t>
      </w:r>
      <w:r w:rsidRPr="00AE7BC0">
        <w:rPr>
          <w:rFonts w:ascii="Times New Roman" w:hAnsi="Times New Roman" w:cs="Times New Roman"/>
          <w:i/>
        </w:rPr>
        <w:t>See</w:t>
      </w:r>
      <w:r w:rsidRPr="00AE7BC0">
        <w:rPr>
          <w:rFonts w:ascii="Times New Roman" w:hAnsi="Times New Roman" w:cs="Times New Roman"/>
        </w:rPr>
        <w:t xml:space="preserve"> </w:t>
      </w:r>
      <w:r w:rsidRPr="00AE7BC0">
        <w:rPr>
          <w:rFonts w:ascii="Times New Roman" w:hAnsi="Times New Roman" w:cs="Times New Roman"/>
          <w:i/>
        </w:rPr>
        <w:t>also</w:t>
      </w:r>
      <w:r w:rsidRPr="00AE7BC0">
        <w:rPr>
          <w:rFonts w:ascii="Times New Roman" w:hAnsi="Times New Roman" w:cs="Times New Roman"/>
        </w:rPr>
        <w:t xml:space="preserve"> </w:t>
      </w:r>
      <w:hyperlink w:history="1" r:id="rId1">
        <w:r w:rsidRPr="00AE7BC0">
          <w:rPr>
            <w:rStyle w:val="Hyperlink"/>
            <w:rFonts w:ascii="Times New Roman" w:hAnsi="Times New Roman" w:cs="Times New Roman"/>
          </w:rPr>
          <w:t>House of Representatives Staff Final Bill Analysis, CS/CS/CS/HB 85</w:t>
        </w:r>
      </w:hyperlink>
      <w:r w:rsidRPr="00AE7BC0">
        <w:rPr>
          <w:rFonts w:ascii="Times New Roman" w:hAnsi="Times New Roman" w:cs="Times New Roman"/>
        </w:rPr>
        <w:t>, pg. 7 (May 18, 2023) (providing summary of these changes).</w:t>
      </w:r>
      <w:r w:rsidR="002A02F9">
        <w:rPr>
          <w:rFonts w:ascii="Times New Roman" w:hAnsi="Times New Roman" w:cs="Times New Roman"/>
        </w:rPr>
        <w:t xml:space="preserve">  Further, this white paper </w:t>
      </w:r>
      <w:r w:rsidRPr="002A02F9" w:rsidR="002A02F9">
        <w:rPr>
          <w:rFonts w:ascii="Times New Roman" w:hAnsi="Times New Roman" w:cs="Times New Roman"/>
          <w:i/>
        </w:rPr>
        <w:t>does not</w:t>
      </w:r>
      <w:r w:rsidR="002A02F9">
        <w:rPr>
          <w:rFonts w:ascii="Times New Roman" w:hAnsi="Times New Roman" w:cs="Times New Roman"/>
        </w:rPr>
        <w:t xml:space="preserve"> propose modifying the 2018 amendments to former s. 95. 11(3</w:t>
      </w:r>
      <w:proofErr w:type="gramStart"/>
      <w:r w:rsidR="002A02F9">
        <w:rPr>
          <w:rFonts w:ascii="Times New Roman" w:hAnsi="Times New Roman" w:cs="Times New Roman"/>
        </w:rPr>
        <w:t>)(</w:t>
      </w:r>
      <w:proofErr w:type="gramEnd"/>
      <w:r w:rsidR="002A02F9">
        <w:rPr>
          <w:rFonts w:ascii="Times New Roman" w:hAnsi="Times New Roman" w:cs="Times New Roman"/>
        </w:rPr>
        <w:t xml:space="preserve">c), Fla. Stat. (2022), which </w:t>
      </w:r>
      <w:r w:rsidR="002D74F5">
        <w:rPr>
          <w:rFonts w:ascii="Times New Roman" w:hAnsi="Times New Roman" w:cs="Times New Roman"/>
        </w:rPr>
        <w:t xml:space="preserve">added a </w:t>
      </w:r>
      <w:r w:rsidR="002A02F9">
        <w:rPr>
          <w:rFonts w:ascii="Times New Roman" w:hAnsi="Times New Roman" w:cs="Times New Roman"/>
        </w:rPr>
        <w:t xml:space="preserve">limited extension of the statute of repose for counterclaims, cross-claims, and third-party claims added in 2018.  </w:t>
      </w:r>
      <w:r w:rsidR="002A02F9">
        <w:rPr>
          <w:rFonts w:ascii="Times New Roman" w:hAnsi="Times New Roman" w:cs="Times New Roman"/>
          <w:i/>
        </w:rPr>
        <w:t>See</w:t>
      </w:r>
      <w:r w:rsidR="002A02F9">
        <w:rPr>
          <w:rFonts w:ascii="Times New Roman" w:hAnsi="Times New Roman" w:cs="Times New Roman"/>
        </w:rPr>
        <w:t xml:space="preserve"> Wright, W.C, Fuente, J., Heckert, K., </w:t>
      </w:r>
      <w:proofErr w:type="spellStart"/>
      <w:r w:rsidR="002A02F9">
        <w:rPr>
          <w:rFonts w:ascii="Times New Roman" w:hAnsi="Times New Roman" w:cs="Times New Roman"/>
        </w:rPr>
        <w:t>Strady</w:t>
      </w:r>
      <w:proofErr w:type="spellEnd"/>
      <w:r w:rsidR="002A02F9">
        <w:rPr>
          <w:rFonts w:ascii="Times New Roman" w:hAnsi="Times New Roman" w:cs="Times New Roman"/>
        </w:rPr>
        <w:t xml:space="preserve">, M., </w:t>
      </w:r>
      <w:r w:rsidR="002A02F9">
        <w:rPr>
          <w:rFonts w:ascii="Times New Roman" w:hAnsi="Times New Roman" w:cs="Times New Roman"/>
          <w:i/>
        </w:rPr>
        <w:t>Take-Two: Legislature Amends Florida’s Construction Statute of Limitations and Repose Again in 2018</w:t>
      </w:r>
      <w:r w:rsidR="002D74F5">
        <w:rPr>
          <w:rFonts w:ascii="Times New Roman" w:hAnsi="Times New Roman" w:cs="Times New Roman"/>
        </w:rPr>
        <w:t xml:space="preserve">, </w:t>
      </w:r>
      <w:proofErr w:type="spellStart"/>
      <w:r w:rsidR="002D74F5">
        <w:rPr>
          <w:rFonts w:ascii="Times New Roman" w:hAnsi="Times New Roman" w:cs="Times New Roman"/>
        </w:rPr>
        <w:t>ActionLine</w:t>
      </w:r>
      <w:proofErr w:type="spellEnd"/>
      <w:r w:rsidR="002D74F5">
        <w:rPr>
          <w:rFonts w:ascii="Times New Roman" w:hAnsi="Times New Roman" w:cs="Times New Roman"/>
        </w:rPr>
        <w:t xml:space="preserve">, Vol. XXXIX, No. 4, p. 8 (Summer 2018).  This white paper </w:t>
      </w:r>
      <w:r w:rsidRPr="002D74F5" w:rsidR="002D74F5">
        <w:rPr>
          <w:rFonts w:ascii="Times New Roman" w:hAnsi="Times New Roman" w:cs="Times New Roman"/>
          <w:i/>
        </w:rPr>
        <w:t>does</w:t>
      </w:r>
      <w:r w:rsidR="002D74F5">
        <w:rPr>
          <w:rFonts w:ascii="Times New Roman" w:hAnsi="Times New Roman" w:cs="Times New Roman"/>
        </w:rPr>
        <w:t xml:space="preserve"> proposed r</w:t>
      </w:r>
      <w:r w:rsidRPr="002D74F5" w:rsidR="002D74F5">
        <w:rPr>
          <w:rFonts w:ascii="Times New Roman" w:hAnsi="Times New Roman" w:cs="Times New Roman"/>
        </w:rPr>
        <w:t>eincorporati</w:t>
      </w:r>
      <w:r w:rsidR="002D74F5">
        <w:rPr>
          <w:rFonts w:ascii="Times New Roman" w:hAnsi="Times New Roman" w:cs="Times New Roman"/>
        </w:rPr>
        <w:t xml:space="preserve">ng “completion of the contract” as a “catch-all” trigger to cure the ambiguities in the current law, which </w:t>
      </w:r>
      <w:proofErr w:type="gramStart"/>
      <w:r w:rsidR="002D74F5">
        <w:rPr>
          <w:rFonts w:ascii="Times New Roman" w:hAnsi="Times New Roman" w:cs="Times New Roman"/>
        </w:rPr>
        <w:t>was deleted</w:t>
      </w:r>
      <w:proofErr w:type="gramEnd"/>
      <w:r w:rsidR="002D74F5">
        <w:rPr>
          <w:rFonts w:ascii="Times New Roman" w:hAnsi="Times New Roman" w:cs="Times New Roman"/>
        </w:rPr>
        <w:t xml:space="preserve"> from the 2023 version of the statute.  </w:t>
      </w:r>
      <w:r w:rsidR="002D74F5">
        <w:rPr>
          <w:rFonts w:ascii="Times New Roman" w:hAnsi="Times New Roman" w:cs="Times New Roman"/>
          <w:i/>
        </w:rPr>
        <w:t>See</w:t>
      </w:r>
      <w:r w:rsidR="002D74F5">
        <w:rPr>
          <w:rFonts w:ascii="Times New Roman" w:hAnsi="Times New Roman" w:cs="Times New Roman"/>
        </w:rPr>
        <w:t xml:space="preserve"> </w:t>
      </w:r>
      <w:r w:rsidR="002D74F5">
        <w:rPr>
          <w:rFonts w:ascii="Times New Roman" w:hAnsi="Times New Roman" w:cs="Times New Roman"/>
          <w:i/>
        </w:rPr>
        <w:t>infra</w:t>
      </w:r>
      <w:r w:rsidR="002D74F5">
        <w:rPr>
          <w:rFonts w:ascii="Times New Roman" w:hAnsi="Times New Roman" w:cs="Times New Roman"/>
        </w:rPr>
        <w:t xml:space="preserve">, §§ </w:t>
      </w:r>
      <w:proofErr w:type="gramStart"/>
      <w:r w:rsidR="002D74F5">
        <w:rPr>
          <w:rFonts w:ascii="Times New Roman" w:hAnsi="Times New Roman" w:cs="Times New Roman"/>
        </w:rPr>
        <w:t>II(</w:t>
      </w:r>
      <w:proofErr w:type="gramEnd"/>
      <w:r w:rsidR="002D74F5">
        <w:rPr>
          <w:rFonts w:ascii="Times New Roman" w:hAnsi="Times New Roman" w:cs="Times New Roman"/>
        </w:rPr>
        <w:t>e); III.</w:t>
      </w:r>
    </w:p>
  </w:footnote>
  <w:footnote w:id="3">
    <w:p w:rsidRPr="00F044DF" w:rsidR="00F044DF" w:rsidP="000A003F" w:rsidRDefault="00F044DF" w14:paraId="0A248500" w14:textId="77777777">
      <w:pPr>
        <w:pStyle w:val="FootnoteText"/>
        <w:spacing w:before="120"/>
        <w:rPr>
          <w:rFonts w:ascii="Times New Roman" w:hAnsi="Times New Roman" w:cs="Times New Roman"/>
        </w:rPr>
      </w:pPr>
      <w:r w:rsidRPr="00F044DF">
        <w:rPr>
          <w:rStyle w:val="FootnoteReference"/>
          <w:rFonts w:ascii="Times New Roman" w:hAnsi="Times New Roman" w:cs="Times New Roman"/>
        </w:rPr>
        <w:footnoteRef/>
      </w:r>
      <w:r w:rsidRPr="00F044DF">
        <w:rPr>
          <w:rFonts w:ascii="Times New Roman" w:hAnsi="Times New Roman" w:cs="Times New Roman"/>
        </w:rPr>
        <w:t xml:space="preserve"> Legal Information Institute, Statute of Limitations, </w:t>
      </w:r>
      <w:hyperlink w:history="1" r:id="rId2">
        <w:r w:rsidRPr="00C43FBA">
          <w:rPr>
            <w:rStyle w:val="Hyperlink"/>
            <w:rFonts w:ascii="Times New Roman" w:hAnsi="Times New Roman" w:cs="Times New Roman"/>
          </w:rPr>
          <w:t>https://www.law.cornell.edu/wex/statute_of_limitations</w:t>
        </w:r>
      </w:hyperlink>
      <w:r>
        <w:rPr>
          <w:rFonts w:ascii="Times New Roman" w:hAnsi="Times New Roman" w:cs="Times New Roman"/>
        </w:rPr>
        <w:t xml:space="preserve"> </w:t>
      </w:r>
      <w:r w:rsidRPr="00F044DF">
        <w:rPr>
          <w:rFonts w:ascii="Times New Roman" w:hAnsi="Times New Roman" w:cs="Times New Roman"/>
        </w:rPr>
        <w:t xml:space="preserve">(last </w:t>
      </w:r>
      <w:r>
        <w:rPr>
          <w:rFonts w:ascii="Times New Roman" w:hAnsi="Times New Roman" w:cs="Times New Roman"/>
        </w:rPr>
        <w:t>accessed:</w:t>
      </w:r>
      <w:r w:rsidRPr="00F044DF">
        <w:rPr>
          <w:rFonts w:ascii="Times New Roman" w:hAnsi="Times New Roman" w:cs="Times New Roman"/>
        </w:rPr>
        <w:t xml:space="preserve"> </w:t>
      </w:r>
      <w:r>
        <w:rPr>
          <w:rFonts w:ascii="Times New Roman" w:hAnsi="Times New Roman" w:cs="Times New Roman"/>
        </w:rPr>
        <w:t>April 1, 2024</w:t>
      </w:r>
      <w:r w:rsidRPr="00F044DF">
        <w:rPr>
          <w:rFonts w:ascii="Times New Roman" w:hAnsi="Times New Roman" w:cs="Times New Roman"/>
        </w:rPr>
        <w:t>).</w:t>
      </w:r>
    </w:p>
  </w:footnote>
  <w:footnote w:id="4">
    <w:p w:rsidRPr="00F044DF" w:rsidR="00F044DF" w:rsidP="000A003F" w:rsidRDefault="00F044DF" w14:paraId="360F108A" w14:textId="77777777">
      <w:pPr>
        <w:pStyle w:val="FootnoteText"/>
        <w:spacing w:before="120"/>
        <w:rPr>
          <w:rFonts w:ascii="Times New Roman" w:hAnsi="Times New Roman" w:cs="Times New Roman"/>
          <w:i/>
        </w:rPr>
      </w:pPr>
      <w:r w:rsidRPr="00F044DF">
        <w:rPr>
          <w:rStyle w:val="FootnoteReference"/>
          <w:rFonts w:ascii="Times New Roman" w:hAnsi="Times New Roman" w:cs="Times New Roman"/>
        </w:rPr>
        <w:footnoteRef/>
      </w:r>
      <w:r w:rsidRPr="00F044DF">
        <w:rPr>
          <w:rFonts w:ascii="Times New Roman" w:hAnsi="Times New Roman" w:cs="Times New Roman"/>
        </w:rPr>
        <w:t xml:space="preserve"> </w:t>
      </w:r>
      <w:r w:rsidRPr="00F044DF">
        <w:rPr>
          <w:rFonts w:ascii="Times New Roman" w:hAnsi="Times New Roman" w:cs="Times New Roman"/>
          <w:i/>
        </w:rPr>
        <w:t>Id.</w:t>
      </w:r>
    </w:p>
  </w:footnote>
  <w:footnote w:id="5">
    <w:p w:rsidRPr="00F044DF" w:rsidR="00F044DF" w:rsidP="000A003F" w:rsidRDefault="00F044DF" w14:paraId="7AFA592B" w14:textId="77777777">
      <w:pPr>
        <w:pStyle w:val="FootnoteText"/>
        <w:spacing w:before="120"/>
        <w:rPr>
          <w:rFonts w:ascii="Times New Roman" w:hAnsi="Times New Roman" w:cs="Times New Roman"/>
        </w:rPr>
      </w:pPr>
      <w:r w:rsidRPr="00F044DF">
        <w:rPr>
          <w:rStyle w:val="FootnoteReference"/>
          <w:rFonts w:ascii="Times New Roman" w:hAnsi="Times New Roman" w:cs="Times New Roman"/>
        </w:rPr>
        <w:footnoteRef/>
      </w:r>
      <w:r w:rsidRPr="00F044DF">
        <w:rPr>
          <w:rFonts w:ascii="Times New Roman" w:hAnsi="Times New Roman" w:cs="Times New Roman"/>
        </w:rPr>
        <w:t xml:space="preserve"> Legal Information Institute, Statute of Repose, </w:t>
      </w:r>
      <w:hyperlink w:history="1" r:id="rId3">
        <w:r w:rsidRPr="00C43FBA">
          <w:rPr>
            <w:rStyle w:val="Hyperlink"/>
            <w:rFonts w:ascii="Times New Roman" w:hAnsi="Times New Roman" w:cs="Times New Roman"/>
          </w:rPr>
          <w:t>https://www.law.cornell.edu/wex/statute_of_repose</w:t>
        </w:r>
      </w:hyperlink>
      <w:r>
        <w:rPr>
          <w:rFonts w:ascii="Times New Roman" w:hAnsi="Times New Roman" w:cs="Times New Roman"/>
        </w:rPr>
        <w:t xml:space="preserve"> </w:t>
      </w:r>
      <w:r w:rsidRPr="00F044DF">
        <w:rPr>
          <w:rFonts w:ascii="Times New Roman" w:hAnsi="Times New Roman" w:cs="Times New Roman"/>
        </w:rPr>
        <w:t>(las</w:t>
      </w:r>
      <w:r>
        <w:rPr>
          <w:rFonts w:ascii="Times New Roman" w:hAnsi="Times New Roman" w:cs="Times New Roman"/>
        </w:rPr>
        <w:t>t visited April 1</w:t>
      </w:r>
      <w:r w:rsidRPr="00F044DF">
        <w:rPr>
          <w:rFonts w:ascii="Times New Roman" w:hAnsi="Times New Roman" w:cs="Times New Roman"/>
        </w:rPr>
        <w:t>, 202</w:t>
      </w:r>
      <w:r>
        <w:rPr>
          <w:rFonts w:ascii="Times New Roman" w:hAnsi="Times New Roman" w:cs="Times New Roman"/>
        </w:rPr>
        <w:t>4</w:t>
      </w:r>
      <w:r w:rsidRPr="00F044DF">
        <w:rPr>
          <w:rFonts w:ascii="Times New Roman" w:hAnsi="Times New Roman" w:cs="Times New Roman"/>
        </w:rPr>
        <w:t xml:space="preserve">); </w:t>
      </w:r>
      <w:r w:rsidRPr="00F044DF">
        <w:rPr>
          <w:rFonts w:ascii="Times New Roman" w:hAnsi="Times New Roman" w:cs="Times New Roman"/>
          <w:i/>
        </w:rPr>
        <w:t>Kush v. Lloyd</w:t>
      </w:r>
      <w:r w:rsidRPr="00F044DF">
        <w:rPr>
          <w:rFonts w:ascii="Times New Roman" w:hAnsi="Times New Roman" w:cs="Times New Roman"/>
        </w:rPr>
        <w:t>, 616 So. 2d 415 (Fla. 1992).</w:t>
      </w:r>
    </w:p>
  </w:footnote>
  <w:footnote w:id="6">
    <w:p w:rsidRPr="00F044DF" w:rsidR="00F044DF" w:rsidP="000A003F" w:rsidRDefault="00F044DF" w14:paraId="713BBB0F" w14:textId="77777777">
      <w:pPr>
        <w:pStyle w:val="FootnoteText"/>
        <w:spacing w:before="120"/>
        <w:rPr>
          <w:rFonts w:ascii="Times New Roman" w:hAnsi="Times New Roman" w:cs="Times New Roman"/>
        </w:rPr>
      </w:pPr>
      <w:r w:rsidRPr="00F044DF">
        <w:rPr>
          <w:rStyle w:val="FootnoteReference"/>
          <w:rFonts w:ascii="Times New Roman" w:hAnsi="Times New Roman" w:cs="Times New Roman"/>
        </w:rPr>
        <w:footnoteRef/>
      </w:r>
      <w:r w:rsidRPr="00F044DF">
        <w:rPr>
          <w:rFonts w:ascii="Times New Roman" w:hAnsi="Times New Roman" w:cs="Times New Roman"/>
        </w:rPr>
        <w:t xml:space="preserve"> </w:t>
      </w:r>
      <w:r w:rsidRPr="00F044DF">
        <w:rPr>
          <w:rFonts w:ascii="Times New Roman" w:hAnsi="Times New Roman" w:cs="Times New Roman"/>
          <w:i/>
        </w:rPr>
        <w:t>Beach v. Great Western Bank</w:t>
      </w:r>
      <w:r w:rsidRPr="00F044DF">
        <w:rPr>
          <w:rFonts w:ascii="Times New Roman" w:hAnsi="Times New Roman" w:cs="Times New Roman"/>
        </w:rPr>
        <w:t>, 692 So. 2d 146 (Fla. 1997).</w:t>
      </w:r>
    </w:p>
  </w:footnote>
  <w:footnote w:id="7">
    <w:p w:rsidR="00F044DF" w:rsidP="000A003F" w:rsidRDefault="00F044DF" w14:paraId="1B8412C8" w14:textId="176B329F">
      <w:pPr>
        <w:pStyle w:val="FootnoteText"/>
        <w:spacing w:before="120"/>
      </w:pPr>
      <w:r w:rsidRPr="00F044DF">
        <w:rPr>
          <w:rStyle w:val="FootnoteReference"/>
          <w:rFonts w:ascii="Times New Roman" w:hAnsi="Times New Roman" w:cs="Times New Roman"/>
        </w:rPr>
        <w:footnoteRef/>
      </w:r>
      <w:r w:rsidRPr="00F044DF">
        <w:rPr>
          <w:rFonts w:ascii="Times New Roman" w:hAnsi="Times New Roman" w:cs="Times New Roman"/>
        </w:rPr>
        <w:t xml:space="preserve"> </w:t>
      </w:r>
      <w:r w:rsidRPr="00F044DF">
        <w:rPr>
          <w:rFonts w:ascii="Times New Roman" w:hAnsi="Times New Roman" w:cs="Times New Roman"/>
          <w:i/>
        </w:rPr>
        <w:t xml:space="preserve">Lamb By and Through Donaldson v. </w:t>
      </w:r>
      <w:proofErr w:type="spellStart"/>
      <w:r w:rsidRPr="00F044DF">
        <w:rPr>
          <w:rFonts w:ascii="Times New Roman" w:hAnsi="Times New Roman" w:cs="Times New Roman"/>
          <w:i/>
        </w:rPr>
        <w:t>Volkswagenwerk</w:t>
      </w:r>
      <w:proofErr w:type="spellEnd"/>
      <w:r w:rsidRPr="00F044DF">
        <w:rPr>
          <w:rFonts w:ascii="Times New Roman" w:hAnsi="Times New Roman" w:cs="Times New Roman"/>
          <w:i/>
        </w:rPr>
        <w:t xml:space="preserve"> </w:t>
      </w:r>
      <w:proofErr w:type="spellStart"/>
      <w:r w:rsidRPr="00F044DF">
        <w:rPr>
          <w:rFonts w:ascii="Times New Roman" w:hAnsi="Times New Roman" w:cs="Times New Roman"/>
          <w:i/>
        </w:rPr>
        <w:t>Aktiengesellschaft</w:t>
      </w:r>
      <w:proofErr w:type="spellEnd"/>
      <w:r w:rsidRPr="00F044DF">
        <w:rPr>
          <w:rFonts w:ascii="Times New Roman" w:hAnsi="Times New Roman" w:cs="Times New Roman"/>
        </w:rPr>
        <w:t xml:space="preserve">, 631 F. Supp. 1144, 1148 (S.D. Fla. 1986), </w:t>
      </w:r>
      <w:r w:rsidRPr="00F044DF">
        <w:rPr>
          <w:rFonts w:ascii="Times New Roman" w:hAnsi="Times New Roman" w:cs="Times New Roman"/>
          <w:i/>
        </w:rPr>
        <w:t xml:space="preserve">judgment </w:t>
      </w:r>
      <w:proofErr w:type="gramStart"/>
      <w:r w:rsidRPr="00F044DF">
        <w:rPr>
          <w:rFonts w:ascii="Times New Roman" w:hAnsi="Times New Roman" w:cs="Times New Roman"/>
          <w:i/>
        </w:rPr>
        <w:t>aff'd</w:t>
      </w:r>
      <w:proofErr w:type="gramEnd"/>
      <w:r w:rsidRPr="00F044DF">
        <w:rPr>
          <w:rFonts w:ascii="Times New Roman" w:hAnsi="Times New Roman" w:cs="Times New Roman"/>
        </w:rPr>
        <w:t>, 835 F.2d 1369 (11th Cir. 1988).</w:t>
      </w:r>
    </w:p>
  </w:footnote>
  <w:footnote w:id="8">
    <w:p w:rsidRPr="000A003F" w:rsidR="00F044DF" w:rsidP="000A003F" w:rsidRDefault="00F044DF" w14:paraId="34D13E86" w14:textId="77777777">
      <w:pPr>
        <w:pStyle w:val="FootnoteText"/>
        <w:spacing w:before="120"/>
        <w:rPr>
          <w:rFonts w:ascii="Times New Roman" w:hAnsi="Times New Roman" w:cs="Times New Roman"/>
        </w:rPr>
      </w:pPr>
      <w:r w:rsidRPr="000A003F">
        <w:rPr>
          <w:rStyle w:val="FootnoteReference"/>
          <w:rFonts w:ascii="Times New Roman" w:hAnsi="Times New Roman" w:cs="Times New Roman"/>
        </w:rPr>
        <w:footnoteRef/>
      </w:r>
      <w:r w:rsidRPr="000A003F">
        <w:rPr>
          <w:rFonts w:ascii="Times New Roman" w:hAnsi="Times New Roman" w:cs="Times New Roman"/>
        </w:rPr>
        <w:t xml:space="preserve"> A “patent defect” is a defect that is reasonably apparent or known to the owner. </w:t>
      </w:r>
      <w:r w:rsidRPr="000A003F">
        <w:rPr>
          <w:rFonts w:ascii="Times New Roman" w:hAnsi="Times New Roman" w:cs="Times New Roman"/>
          <w:i/>
        </w:rPr>
        <w:t xml:space="preserve">Alexander v. </w:t>
      </w:r>
      <w:proofErr w:type="spellStart"/>
      <w:r w:rsidRPr="000A003F">
        <w:rPr>
          <w:rFonts w:ascii="Times New Roman" w:hAnsi="Times New Roman" w:cs="Times New Roman"/>
          <w:i/>
        </w:rPr>
        <w:t>Suncoast</w:t>
      </w:r>
      <w:proofErr w:type="spellEnd"/>
      <w:r w:rsidRPr="000A003F">
        <w:rPr>
          <w:rFonts w:ascii="Times New Roman" w:hAnsi="Times New Roman" w:cs="Times New Roman"/>
          <w:i/>
        </w:rPr>
        <w:t xml:space="preserve"> Builders, Inc.</w:t>
      </w:r>
      <w:r w:rsidRPr="000A003F">
        <w:rPr>
          <w:rFonts w:ascii="Times New Roman" w:hAnsi="Times New Roman" w:cs="Times New Roman"/>
        </w:rPr>
        <w:t xml:space="preserve">, 837 So. 2d 1056, 1058 (Fla. 3d DCA 2003); Legal Information Institute, Patent Defect, </w:t>
      </w:r>
      <w:hyperlink w:history="1" r:id="rId4">
        <w:r w:rsidRPr="000A003F">
          <w:rPr>
            <w:rStyle w:val="Hyperlink"/>
            <w:rFonts w:ascii="Times New Roman" w:hAnsi="Times New Roman" w:cs="Times New Roman"/>
          </w:rPr>
          <w:t>https://www.law.cornell.edu/wex/patent_defect</w:t>
        </w:r>
      </w:hyperlink>
      <w:r w:rsidRPr="000A003F">
        <w:rPr>
          <w:rFonts w:ascii="Times New Roman" w:hAnsi="Times New Roman" w:cs="Times New Roman"/>
        </w:rPr>
        <w:t xml:space="preserve">  (last visited April 1, 2024).</w:t>
      </w:r>
    </w:p>
  </w:footnote>
  <w:footnote w:id="9">
    <w:p w:rsidRPr="00B41A30" w:rsidR="002526B8" w:rsidP="000A003F" w:rsidRDefault="002526B8" w14:paraId="5A58798A" w14:textId="20671A47">
      <w:pPr>
        <w:pStyle w:val="FootnoteText"/>
        <w:spacing w:before="120"/>
        <w:rPr>
          <w:rFonts w:ascii="Times New Roman" w:hAnsi="Times New Roman" w:cs="Times New Roman"/>
        </w:rPr>
      </w:pPr>
      <w:r w:rsidRPr="00B41A30">
        <w:rPr>
          <w:rStyle w:val="FootnoteReference"/>
          <w:rFonts w:ascii="Times New Roman" w:hAnsi="Times New Roman" w:cs="Times New Roman"/>
        </w:rPr>
        <w:footnoteRef/>
      </w:r>
      <w:r w:rsidRPr="00B41A30">
        <w:rPr>
          <w:rFonts w:ascii="Times New Roman" w:hAnsi="Times New Roman" w:cs="Times New Roman"/>
        </w:rPr>
        <w:t xml:space="preserve"> </w:t>
      </w:r>
      <w:r w:rsidRPr="00B41A30">
        <w:rPr>
          <w:rFonts w:ascii="Times New Roman" w:hAnsi="Times New Roman" w:cs="Times New Roman"/>
          <w:i/>
        </w:rPr>
        <w:t>See</w:t>
      </w:r>
      <w:r w:rsidRPr="00B41A30">
        <w:rPr>
          <w:rFonts w:ascii="Times New Roman" w:hAnsi="Times New Roman" w:cs="Times New Roman"/>
        </w:rPr>
        <w:t xml:space="preserve"> </w:t>
      </w:r>
      <w:proofErr w:type="spellStart"/>
      <w:r w:rsidRPr="00B41A30">
        <w:rPr>
          <w:rFonts w:ascii="Times New Roman" w:hAnsi="Times New Roman" w:cs="Times New Roman"/>
        </w:rPr>
        <w:t>Dannecker</w:t>
      </w:r>
      <w:proofErr w:type="spellEnd"/>
      <w:r w:rsidRPr="00B41A30">
        <w:rPr>
          <w:rFonts w:ascii="Times New Roman" w:hAnsi="Times New Roman" w:cs="Times New Roman"/>
        </w:rPr>
        <w:t xml:space="preserve">, J. and </w:t>
      </w:r>
      <w:proofErr w:type="spellStart"/>
      <w:r w:rsidRPr="00B41A30">
        <w:rPr>
          <w:rFonts w:ascii="Times New Roman" w:hAnsi="Times New Roman" w:cs="Times New Roman"/>
        </w:rPr>
        <w:t>Buffinton</w:t>
      </w:r>
      <w:proofErr w:type="spellEnd"/>
      <w:r w:rsidRPr="00B41A30">
        <w:rPr>
          <w:rFonts w:ascii="Times New Roman" w:hAnsi="Times New Roman" w:cs="Times New Roman"/>
        </w:rPr>
        <w:t>, A., PLENARY II – THE LIMITATIONS ON THE LIMITATIONS: A REVIEW OF FLORIDA’S STATUTE OF LIMITATIONS AND STATUTE OF REPOSE IN 95.11(3</w:t>
      </w:r>
      <w:proofErr w:type="gramStart"/>
      <w:r w:rsidRPr="00B41A30">
        <w:rPr>
          <w:rFonts w:ascii="Times New Roman" w:hAnsi="Times New Roman" w:cs="Times New Roman"/>
        </w:rPr>
        <w:t>)(</w:t>
      </w:r>
      <w:proofErr w:type="gramEnd"/>
      <w:r w:rsidRPr="00B41A30">
        <w:rPr>
          <w:rFonts w:ascii="Times New Roman" w:hAnsi="Times New Roman" w:cs="Times New Roman"/>
        </w:rPr>
        <w:t>c)</w:t>
      </w:r>
      <w:r w:rsidR="00B41A30">
        <w:rPr>
          <w:rFonts w:ascii="Times New Roman" w:hAnsi="Times New Roman" w:cs="Times New Roman"/>
        </w:rPr>
        <w:t>, 2023 Construction Law Institute</w:t>
      </w:r>
      <w:r w:rsidRPr="00B41A30">
        <w:rPr>
          <w:rFonts w:ascii="Times New Roman" w:hAnsi="Times New Roman" w:cs="Times New Roman"/>
        </w:rPr>
        <w:t xml:space="preserve">  (Mar. 17, 2023).  </w:t>
      </w:r>
      <w:r w:rsidR="00B41A30">
        <w:rPr>
          <w:rFonts w:ascii="Times New Roman" w:hAnsi="Times New Roman" w:cs="Times New Roman"/>
        </w:rPr>
        <w:t>The</w:t>
      </w:r>
      <w:r w:rsidRPr="00B41A30">
        <w:rPr>
          <w:rFonts w:ascii="Times New Roman" w:hAnsi="Times New Roman" w:cs="Times New Roman"/>
        </w:rPr>
        <w:t xml:space="preserve"> </w:t>
      </w:r>
      <w:r w:rsidRPr="00B41A30" w:rsidR="00B41A30">
        <w:rPr>
          <w:rFonts w:ascii="Times New Roman" w:hAnsi="Times New Roman" w:cs="Times New Roman"/>
        </w:rPr>
        <w:t>PowerPoint</w:t>
      </w:r>
      <w:r w:rsidRPr="00B41A30">
        <w:rPr>
          <w:rFonts w:ascii="Times New Roman" w:hAnsi="Times New Roman" w:cs="Times New Roman"/>
        </w:rPr>
        <w:t xml:space="preserve"> presentation slides for this plenary session incorporate the technical issues raised in the CLC Legislative Subcommittee’s technical advice paper approved at the</w:t>
      </w:r>
      <w:r w:rsidRPr="00B41A30" w:rsidR="00B41A30">
        <w:rPr>
          <w:rFonts w:ascii="Times New Roman" w:hAnsi="Times New Roman" w:cs="Times New Roman"/>
        </w:rPr>
        <w:t xml:space="preserve"> </w:t>
      </w:r>
      <w:r w:rsidR="00B41A30">
        <w:rPr>
          <w:rFonts w:ascii="Times New Roman" w:hAnsi="Times New Roman" w:cs="Times New Roman"/>
        </w:rPr>
        <w:t>February 13, 2023 CLC meeting</w:t>
      </w:r>
      <w:r w:rsidR="002D74F5">
        <w:rPr>
          <w:rFonts w:ascii="Times New Roman" w:hAnsi="Times New Roman" w:cs="Times New Roman"/>
        </w:rPr>
        <w:t>.  The slides, along with the conference paper,</w:t>
      </w:r>
      <w:r w:rsidR="00B41A30">
        <w:rPr>
          <w:rFonts w:ascii="Times New Roman" w:hAnsi="Times New Roman" w:cs="Times New Roman"/>
        </w:rPr>
        <w:t xml:space="preserve"> are available upon request.  </w:t>
      </w:r>
    </w:p>
  </w:footnote>
  <w:footnote w:id="10">
    <w:p w:rsidRPr="00F044DF" w:rsidR="00F044DF" w:rsidP="000A003F" w:rsidRDefault="00F044DF" w14:paraId="0F3B7B54" w14:textId="77777777">
      <w:pPr>
        <w:pStyle w:val="FootnoteText"/>
        <w:spacing w:before="120"/>
        <w:rPr>
          <w:rFonts w:ascii="Times New Roman" w:hAnsi="Times New Roman" w:cs="Times New Roman"/>
        </w:rPr>
      </w:pPr>
      <w:r w:rsidRPr="00F044DF">
        <w:rPr>
          <w:rStyle w:val="FootnoteReference"/>
          <w:rFonts w:ascii="Times New Roman" w:hAnsi="Times New Roman" w:cs="Times New Roman"/>
        </w:rPr>
        <w:footnoteRef/>
      </w:r>
      <w:r w:rsidRPr="00F044DF">
        <w:rPr>
          <w:rFonts w:ascii="Times New Roman" w:hAnsi="Times New Roman" w:cs="Times New Roman"/>
        </w:rPr>
        <w:t xml:space="preserve"> </w:t>
      </w:r>
      <w:r w:rsidRPr="00F044DF">
        <w:rPr>
          <w:rFonts w:ascii="Times New Roman" w:hAnsi="Times New Roman" w:cs="Times New Roman"/>
          <w:i/>
        </w:rPr>
        <w:t>See</w:t>
      </w:r>
      <w:r w:rsidRPr="00F044DF">
        <w:rPr>
          <w:rFonts w:ascii="Times New Roman" w:hAnsi="Times New Roman" w:cs="Times New Roman"/>
        </w:rPr>
        <w:t xml:space="preserve"> </w:t>
      </w:r>
      <w:r w:rsidRPr="00F044DF">
        <w:rPr>
          <w:rFonts w:ascii="Times New Roman" w:hAnsi="Times New Roman" w:cs="Times New Roman"/>
          <w:i/>
        </w:rPr>
        <w:t>e.g.</w:t>
      </w:r>
      <w:r w:rsidRPr="00F044DF">
        <w:rPr>
          <w:rFonts w:ascii="Times New Roman" w:hAnsi="Times New Roman" w:cs="Times New Roman"/>
        </w:rPr>
        <w:t xml:space="preserve"> </w:t>
      </w:r>
      <w:proofErr w:type="spellStart"/>
      <w:r w:rsidRPr="00F044DF">
        <w:rPr>
          <w:rFonts w:ascii="Times New Roman" w:hAnsi="Times New Roman" w:cs="Times New Roman"/>
          <w:i/>
        </w:rPr>
        <w:t>Westpark</w:t>
      </w:r>
      <w:proofErr w:type="spellEnd"/>
      <w:r w:rsidRPr="00F044DF">
        <w:rPr>
          <w:rFonts w:ascii="Times New Roman" w:hAnsi="Times New Roman" w:cs="Times New Roman"/>
          <w:i/>
        </w:rPr>
        <w:t xml:space="preserve"> Pres. Homeowners </w:t>
      </w:r>
      <w:proofErr w:type="spellStart"/>
      <w:r w:rsidRPr="00F044DF">
        <w:rPr>
          <w:rFonts w:ascii="Times New Roman" w:hAnsi="Times New Roman" w:cs="Times New Roman"/>
          <w:i/>
        </w:rPr>
        <w:t>Ass'n</w:t>
      </w:r>
      <w:proofErr w:type="spellEnd"/>
      <w:r w:rsidRPr="00F044DF">
        <w:rPr>
          <w:rFonts w:ascii="Times New Roman" w:hAnsi="Times New Roman" w:cs="Times New Roman"/>
          <w:i/>
        </w:rPr>
        <w:t>, Inc. v. Pulte Home Corp.</w:t>
      </w:r>
      <w:r w:rsidRPr="00F044DF">
        <w:rPr>
          <w:rFonts w:ascii="Times New Roman" w:hAnsi="Times New Roman" w:cs="Times New Roman"/>
        </w:rPr>
        <w:t>, 365 So.3d 391, 395-396 (Fla. 2d DCA 2023) (holding that “owner” in the context of a townhome development means the developer who owned the property when construction was complete, rather than purchasers from the developer, as some circuit courts had ruled).</w:t>
      </w:r>
    </w:p>
  </w:footnote>
  <w:footnote w:id="11">
    <w:p w:rsidRPr="000B3F17" w:rsidR="00B41A30" w:rsidP="000A003F" w:rsidRDefault="00B41A30" w14:paraId="77F6F0F9" w14:textId="77777777">
      <w:pPr>
        <w:pStyle w:val="FootnoteText"/>
        <w:spacing w:before="120"/>
        <w:rPr>
          <w:rFonts w:ascii="Times New Roman" w:hAnsi="Times New Roman" w:cs="Times New Roman"/>
          <w:i/>
        </w:rPr>
      </w:pPr>
      <w:r w:rsidRPr="0044696F">
        <w:rPr>
          <w:rStyle w:val="FootnoteReference"/>
          <w:rFonts w:ascii="Times New Roman" w:hAnsi="Times New Roman" w:cs="Times New Roman"/>
        </w:rPr>
        <w:footnoteRef/>
      </w:r>
      <w:r w:rsidRPr="0044696F">
        <w:rPr>
          <w:rFonts w:ascii="Times New Roman" w:hAnsi="Times New Roman" w:cs="Times New Roman"/>
        </w:rPr>
        <w:t xml:space="preserve"> </w:t>
      </w:r>
      <w:r w:rsidRPr="0044696F">
        <w:rPr>
          <w:rFonts w:ascii="Times New Roman" w:hAnsi="Times New Roman" w:cs="Times New Roman"/>
          <w:i/>
        </w:rPr>
        <w:t>See</w:t>
      </w:r>
      <w:r w:rsidRPr="0044696F">
        <w:rPr>
          <w:rFonts w:ascii="Times New Roman" w:hAnsi="Times New Roman" w:cs="Times New Roman"/>
        </w:rPr>
        <w:t xml:space="preserve"> McCall, A., Weintraub, L., and Partington, B., </w:t>
      </w:r>
      <w:r w:rsidRPr="000B3F17">
        <w:rPr>
          <w:rFonts w:ascii="Times New Roman" w:hAnsi="Times New Roman" w:cs="Times New Roman"/>
          <w:i/>
        </w:rPr>
        <w:t>THE BEST LAID PLANS OF MICE AND MEN …</w:t>
      </w:r>
    </w:p>
    <w:p w:rsidRPr="0044696F" w:rsidR="00B41A30" w:rsidP="000A003F" w:rsidRDefault="00B41A30" w14:paraId="578767C8" w14:textId="77777777">
      <w:pPr>
        <w:pStyle w:val="FootnoteText"/>
      </w:pPr>
      <w:proofErr w:type="gramStart"/>
      <w:r w:rsidRPr="000B3F17">
        <w:rPr>
          <w:rFonts w:ascii="Times New Roman" w:hAnsi="Times New Roman" w:cs="Times New Roman"/>
          <w:i/>
        </w:rPr>
        <w:t>actually</w:t>
      </w:r>
      <w:proofErr w:type="gramEnd"/>
      <w:r w:rsidRPr="000B3F17">
        <w:rPr>
          <w:rFonts w:ascii="Times New Roman" w:hAnsi="Times New Roman" w:cs="Times New Roman"/>
          <w:i/>
        </w:rPr>
        <w:t xml:space="preserve"> tu</w:t>
      </w:r>
      <w:r w:rsidRPr="000B3F17" w:rsidR="000B3F17">
        <w:rPr>
          <w:rFonts w:ascii="Times New Roman" w:hAnsi="Times New Roman" w:cs="Times New Roman"/>
          <w:i/>
        </w:rPr>
        <w:t>rned out mostly OK this time</w:t>
      </w:r>
      <w:r w:rsidR="000B3F17">
        <w:rPr>
          <w:rFonts w:ascii="Times New Roman" w:hAnsi="Times New Roman" w:cs="Times New Roman"/>
        </w:rPr>
        <w:t>, 43rd</w:t>
      </w:r>
      <w:r w:rsidRPr="0044696F">
        <w:rPr>
          <w:rFonts w:ascii="Times New Roman" w:hAnsi="Times New Roman" w:cs="Times New Roman"/>
        </w:rPr>
        <w:t xml:space="preserve"> Annual RPPTL Legislative</w:t>
      </w:r>
      <w:r w:rsidR="00523D82">
        <w:rPr>
          <w:rFonts w:ascii="Times New Roman" w:hAnsi="Times New Roman" w:cs="Times New Roman"/>
        </w:rPr>
        <w:t xml:space="preserve"> &amp; Case Law</w:t>
      </w:r>
      <w:r w:rsidRPr="0044696F">
        <w:rPr>
          <w:rFonts w:ascii="Times New Roman" w:hAnsi="Times New Roman" w:cs="Times New Roman"/>
        </w:rPr>
        <w:t xml:space="preserve"> Update Seminar (Jul. 21, 2023)</w:t>
      </w:r>
      <w:r w:rsidRPr="0044696F" w:rsidR="0044696F">
        <w:rPr>
          <w:rFonts w:ascii="Times New Roman" w:hAnsi="Times New Roman" w:cs="Times New Roman"/>
        </w:rPr>
        <w:t xml:space="preserve">; </w:t>
      </w:r>
      <w:r w:rsidRPr="0044696F" w:rsidR="0044696F">
        <w:rPr>
          <w:rFonts w:ascii="Times New Roman" w:hAnsi="Times New Roman" w:cs="Times New Roman"/>
          <w:i/>
        </w:rPr>
        <w:t>See</w:t>
      </w:r>
      <w:r w:rsidRPr="0044696F" w:rsidR="0044696F">
        <w:rPr>
          <w:rFonts w:ascii="Times New Roman" w:hAnsi="Times New Roman" w:cs="Times New Roman"/>
        </w:rPr>
        <w:t xml:space="preserve"> </w:t>
      </w:r>
      <w:proofErr w:type="spellStart"/>
      <w:r w:rsidRPr="0044696F" w:rsidR="0044696F">
        <w:rPr>
          <w:rFonts w:ascii="Times New Roman" w:hAnsi="Times New Roman" w:cs="Times New Roman"/>
        </w:rPr>
        <w:t>Mickley</w:t>
      </w:r>
      <w:proofErr w:type="spellEnd"/>
      <w:r w:rsidRPr="0044696F" w:rsidR="0044696F">
        <w:rPr>
          <w:rFonts w:ascii="Times New Roman" w:hAnsi="Times New Roman" w:cs="Times New Roman"/>
        </w:rPr>
        <w:t>, S. and Henson, B., 2023 Construction Law Legislative Update, CLC Month</w:t>
      </w:r>
      <w:r w:rsidR="000B3F17">
        <w:rPr>
          <w:rFonts w:ascii="Times New Roman" w:hAnsi="Times New Roman" w:cs="Times New Roman"/>
        </w:rPr>
        <w:t xml:space="preserve">ly Meeting (Aug. 14, 2023) (paper and </w:t>
      </w:r>
      <w:r w:rsidRPr="0044696F" w:rsidR="0044696F">
        <w:rPr>
          <w:rFonts w:ascii="Times New Roman" w:hAnsi="Times New Roman" w:cs="Times New Roman"/>
        </w:rPr>
        <w:t>presentation materials available upon request).</w:t>
      </w:r>
    </w:p>
  </w:footnote>
  <w:footnote w:id="12">
    <w:p w:rsidRPr="008664EC" w:rsidR="00523D82" w:rsidP="000A003F" w:rsidRDefault="00523D82" w14:paraId="00A55015" w14:textId="5FB927C3">
      <w:pPr>
        <w:pStyle w:val="FootnoteText"/>
        <w:spacing w:before="120"/>
        <w:rPr>
          <w:rFonts w:ascii="Times New Roman" w:hAnsi="Times New Roman" w:cs="Times New Roman"/>
        </w:rPr>
      </w:pPr>
      <w:r w:rsidRPr="008664EC">
        <w:rPr>
          <w:rStyle w:val="FootnoteReference"/>
          <w:rFonts w:ascii="Times New Roman" w:hAnsi="Times New Roman" w:cs="Times New Roman"/>
        </w:rPr>
        <w:footnoteRef/>
      </w:r>
      <w:r w:rsidRPr="008664EC">
        <w:rPr>
          <w:rFonts w:ascii="Times New Roman" w:hAnsi="Times New Roman" w:cs="Times New Roman"/>
        </w:rPr>
        <w:t xml:space="preserve"> Florida courts have held that the more “specific” s. 95.11(3)(c), Fla. Stat., controls over more “general” statutes</w:t>
      </w:r>
      <w:r w:rsidRPr="008664EC" w:rsidR="008664EC">
        <w:rPr>
          <w:rFonts w:ascii="Times New Roman" w:hAnsi="Times New Roman" w:cs="Times New Roman"/>
        </w:rPr>
        <w:t xml:space="preserve"> of limitation or repose, such as the </w:t>
      </w:r>
      <w:r w:rsidRPr="008664EC">
        <w:rPr>
          <w:rFonts w:ascii="Times New Roman" w:hAnsi="Times New Roman" w:cs="Times New Roman"/>
        </w:rPr>
        <w:t>5-year statute of limitations for breach of contract actions,</w:t>
      </w:r>
      <w:r w:rsidRPr="008664EC" w:rsidR="008664EC">
        <w:rPr>
          <w:rFonts w:ascii="Times New Roman" w:hAnsi="Times New Roman" w:cs="Times New Roman"/>
        </w:rPr>
        <w:t xml:space="preserve"> </w:t>
      </w:r>
      <w:proofErr w:type="spellStart"/>
      <w:r w:rsidRPr="008664EC" w:rsidR="008664EC">
        <w:rPr>
          <w:rFonts w:ascii="Times New Roman" w:hAnsi="Times New Roman" w:cs="Times New Roman"/>
          <w:i/>
        </w:rPr>
        <w:t>Dubin</w:t>
      </w:r>
      <w:proofErr w:type="spellEnd"/>
      <w:r w:rsidRPr="008664EC" w:rsidR="008664EC">
        <w:rPr>
          <w:rFonts w:ascii="Times New Roman" w:hAnsi="Times New Roman" w:cs="Times New Roman"/>
          <w:i/>
        </w:rPr>
        <w:t xml:space="preserve"> v. Dow Corning Corp.</w:t>
      </w:r>
      <w:r w:rsidRPr="008664EC" w:rsidR="008664EC">
        <w:rPr>
          <w:rFonts w:ascii="Times New Roman" w:hAnsi="Times New Roman" w:cs="Times New Roman"/>
        </w:rPr>
        <w:t>, 478 So. 2d 71, 73 (Fla. 2d DCA 1985)</w:t>
      </w:r>
      <w:r w:rsidRPr="008664EC">
        <w:rPr>
          <w:rFonts w:ascii="Times New Roman" w:hAnsi="Times New Roman" w:cs="Times New Roman"/>
        </w:rPr>
        <w:t xml:space="preserve"> or the 2-year statute of limitations </w:t>
      </w:r>
      <w:r w:rsidRPr="008664EC" w:rsidR="008664EC">
        <w:rPr>
          <w:rFonts w:ascii="Times New Roman" w:hAnsi="Times New Roman" w:cs="Times New Roman"/>
        </w:rPr>
        <w:t xml:space="preserve">for professional negligence actions, </w:t>
      </w:r>
      <w:r w:rsidRPr="008664EC" w:rsidR="008664EC">
        <w:rPr>
          <w:rFonts w:ascii="Times New Roman" w:hAnsi="Times New Roman" w:cs="Times New Roman"/>
          <w:i/>
        </w:rPr>
        <w:t xml:space="preserve">Am. Auto. Ins. Co. v. FDH Infrastructure </w:t>
      </w:r>
      <w:proofErr w:type="spellStart"/>
      <w:proofErr w:type="gramStart"/>
      <w:r w:rsidRPr="008664EC" w:rsidR="008664EC">
        <w:rPr>
          <w:rFonts w:ascii="Times New Roman" w:hAnsi="Times New Roman" w:cs="Times New Roman"/>
          <w:i/>
        </w:rPr>
        <w:t>Servs</w:t>
      </w:r>
      <w:proofErr w:type="spellEnd"/>
      <w:r w:rsidRPr="008664EC" w:rsidR="008664EC">
        <w:rPr>
          <w:rFonts w:ascii="Times New Roman" w:hAnsi="Times New Roman" w:cs="Times New Roman"/>
          <w:i/>
        </w:rPr>
        <w:t>.,</w:t>
      </w:r>
      <w:proofErr w:type="gramEnd"/>
      <w:r w:rsidRPr="008664EC" w:rsidR="008664EC">
        <w:rPr>
          <w:rFonts w:ascii="Times New Roman" w:hAnsi="Times New Roman" w:cs="Times New Roman"/>
          <w:i/>
        </w:rPr>
        <w:t xml:space="preserve"> LLC</w:t>
      </w:r>
      <w:r w:rsidRPr="008664EC" w:rsidR="008664EC">
        <w:rPr>
          <w:rFonts w:ascii="Times New Roman" w:hAnsi="Times New Roman" w:cs="Times New Roman"/>
        </w:rPr>
        <w:t xml:space="preserve">, 364 So. 3d 1082, 1084-1085 (Fla. 4th DCA 2023). </w:t>
      </w:r>
      <w:r w:rsidRPr="008664EC" w:rsidR="008664EC">
        <w:rPr>
          <w:rFonts w:ascii="Times New Roman" w:hAnsi="Times New Roman" w:cs="Times New Roman"/>
          <w:i/>
        </w:rPr>
        <w:t xml:space="preserve">State, Dep’t of Transp. v. </w:t>
      </w:r>
      <w:proofErr w:type="spellStart"/>
      <w:r w:rsidRPr="008664EC" w:rsidR="008664EC">
        <w:rPr>
          <w:rFonts w:ascii="Times New Roman" w:hAnsi="Times New Roman" w:cs="Times New Roman"/>
          <w:i/>
        </w:rPr>
        <w:t>Echeverri</w:t>
      </w:r>
      <w:proofErr w:type="spellEnd"/>
      <w:r w:rsidRPr="008664EC" w:rsidR="008664EC">
        <w:rPr>
          <w:rFonts w:ascii="Times New Roman" w:hAnsi="Times New Roman" w:cs="Times New Roman"/>
        </w:rPr>
        <w:t>, 736 So.2d 791, 792 (Fla. 3d DCA 1999) (holding that s. 95.11(3</w:t>
      </w:r>
      <w:proofErr w:type="gramStart"/>
      <w:r w:rsidRPr="008664EC" w:rsidR="008664EC">
        <w:rPr>
          <w:rFonts w:ascii="Times New Roman" w:hAnsi="Times New Roman" w:cs="Times New Roman"/>
        </w:rPr>
        <w:t>)(</w:t>
      </w:r>
      <w:proofErr w:type="gramEnd"/>
      <w:r w:rsidRPr="008664EC" w:rsidR="008664EC">
        <w:rPr>
          <w:rFonts w:ascii="Times New Roman" w:hAnsi="Times New Roman" w:cs="Times New Roman"/>
        </w:rPr>
        <w:t>c) “clearly applies to all actions ‘founded on the design, planning, or construction of an improvement to real property”).</w:t>
      </w:r>
    </w:p>
  </w:footnote>
  <w:footnote w:id="13">
    <w:p w:rsidRPr="00F044DF" w:rsidR="00F044DF" w:rsidP="000A003F" w:rsidRDefault="00F044DF" w14:paraId="60FDE2BC" w14:textId="0D5A049A">
      <w:pPr>
        <w:pStyle w:val="FootnoteText"/>
        <w:spacing w:before="120"/>
        <w:rPr>
          <w:rFonts w:ascii="Times New Roman" w:hAnsi="Times New Roman" w:cs="Times New Roman"/>
        </w:rPr>
      </w:pPr>
      <w:r w:rsidRPr="00F044DF">
        <w:rPr>
          <w:rStyle w:val="FootnoteReference"/>
          <w:rFonts w:ascii="Times New Roman" w:hAnsi="Times New Roman" w:cs="Times New Roman"/>
        </w:rPr>
        <w:footnoteRef/>
      </w:r>
      <w:r w:rsidRPr="00F044DF">
        <w:rPr>
          <w:rFonts w:ascii="Times New Roman" w:hAnsi="Times New Roman" w:cs="Times New Roman"/>
        </w:rPr>
        <w:t xml:space="preserve"> </w:t>
      </w:r>
      <w:proofErr w:type="gramStart"/>
      <w:r w:rsidRPr="00F044DF">
        <w:rPr>
          <w:rFonts w:ascii="Times New Roman" w:hAnsi="Times New Roman" w:cs="Times New Roman"/>
          <w:i/>
        </w:rPr>
        <w:t>See Hillsboro Island House Condominium Apartments, Inc. v. Town of Hillsboro Beach</w:t>
      </w:r>
      <w:r w:rsidRPr="00F044DF">
        <w:rPr>
          <w:rFonts w:ascii="Times New Roman" w:hAnsi="Times New Roman" w:cs="Times New Roman"/>
        </w:rPr>
        <w:t>, 263 So.2d 209, 213 (Fla.1972) (quoting Black's Law Dictionary 890 (4th ed. 1969))</w:t>
      </w:r>
      <w:r w:rsidR="000A003F">
        <w:rPr>
          <w:rFonts w:ascii="Times New Roman" w:hAnsi="Times New Roman" w:cs="Times New Roman"/>
        </w:rPr>
        <w:t xml:space="preserve"> </w:t>
      </w:r>
      <w:r w:rsidRPr="00F044DF">
        <w:rPr>
          <w:rFonts w:ascii="Times New Roman" w:hAnsi="Times New Roman" w:cs="Times New Roman"/>
        </w:rPr>
        <w:t xml:space="preserve">(defining as “‘[a] valuable addition made to property (usually real estate) or an amelioration in its condition, amounting to more than merely repairs or replacement of waste, costing labor or capital, and intended to enhance its value, beauty or utility or to adapt it for new or further purposes.’”): </w:t>
      </w:r>
      <w:r w:rsidRPr="00F044DF">
        <w:rPr>
          <w:rFonts w:ascii="Times New Roman" w:hAnsi="Times New Roman" w:cs="Times New Roman"/>
          <w:i/>
        </w:rPr>
        <w:t>Companion Prop.</w:t>
      </w:r>
      <w:proofErr w:type="gramEnd"/>
      <w:r w:rsidRPr="00F044DF">
        <w:rPr>
          <w:rFonts w:ascii="Times New Roman" w:hAnsi="Times New Roman" w:cs="Times New Roman"/>
          <w:i/>
        </w:rPr>
        <w:t xml:space="preserve"> &amp; </w:t>
      </w:r>
      <w:proofErr w:type="spellStart"/>
      <w:proofErr w:type="gramStart"/>
      <w:r w:rsidRPr="00F044DF">
        <w:rPr>
          <w:rFonts w:ascii="Times New Roman" w:hAnsi="Times New Roman" w:cs="Times New Roman"/>
          <w:i/>
        </w:rPr>
        <w:t>Cas</w:t>
      </w:r>
      <w:proofErr w:type="spellEnd"/>
      <w:proofErr w:type="gramEnd"/>
      <w:r w:rsidRPr="00F044DF">
        <w:rPr>
          <w:rFonts w:ascii="Times New Roman" w:hAnsi="Times New Roman" w:cs="Times New Roman"/>
          <w:i/>
        </w:rPr>
        <w:t xml:space="preserve">. Grp. v. Built Tops Bldg. </w:t>
      </w:r>
      <w:proofErr w:type="spellStart"/>
      <w:r w:rsidRPr="00F044DF">
        <w:rPr>
          <w:rFonts w:ascii="Times New Roman" w:hAnsi="Times New Roman" w:cs="Times New Roman"/>
          <w:i/>
        </w:rPr>
        <w:t>Servs</w:t>
      </w:r>
      <w:proofErr w:type="spellEnd"/>
      <w:r w:rsidRPr="00F044DF">
        <w:rPr>
          <w:rFonts w:ascii="Times New Roman" w:hAnsi="Times New Roman" w:cs="Times New Roman"/>
          <w:i/>
        </w:rPr>
        <w:t>., Inc.</w:t>
      </w:r>
      <w:r w:rsidRPr="00F044DF">
        <w:rPr>
          <w:rFonts w:ascii="Times New Roman" w:hAnsi="Times New Roman" w:cs="Times New Roman"/>
        </w:rPr>
        <w:t xml:space="preserve">, 218 So. 3d 989, 991–92 (Fla. 3d DCA 2017) (citing </w:t>
      </w:r>
      <w:r w:rsidRPr="00F044DF">
        <w:rPr>
          <w:rFonts w:ascii="Times New Roman" w:hAnsi="Times New Roman" w:cs="Times New Roman"/>
          <w:i/>
        </w:rPr>
        <w:t>Hillsboro Island</w:t>
      </w:r>
      <w:r w:rsidRPr="00F044DF">
        <w:rPr>
          <w:rFonts w:ascii="Times New Roman" w:hAnsi="Times New Roman" w:cs="Times New Roman"/>
        </w:rPr>
        <w:t xml:space="preserve"> with approval)</w:t>
      </w:r>
      <w:proofErr w:type="gramStart"/>
      <w:r w:rsidRPr="00F044DF">
        <w:rPr>
          <w:rFonts w:ascii="Times New Roman" w:hAnsi="Times New Roman" w:cs="Times New Roman"/>
        </w:rPr>
        <w:t>;</w:t>
      </w:r>
      <w:proofErr w:type="gramEnd"/>
      <w:r w:rsidRPr="00F044DF">
        <w:rPr>
          <w:rFonts w:ascii="Times New Roman" w:hAnsi="Times New Roman" w:cs="Times New Roman"/>
        </w:rPr>
        <w:t xml:space="preserve"> </w:t>
      </w:r>
      <w:r w:rsidRPr="00F044DF">
        <w:rPr>
          <w:rFonts w:ascii="Times New Roman" w:hAnsi="Times New Roman" w:cs="Times New Roman"/>
          <w:i/>
        </w:rPr>
        <w:t>Dominguez v. Hayward Indus., Inc.</w:t>
      </w:r>
      <w:r w:rsidRPr="00F044DF">
        <w:rPr>
          <w:rFonts w:ascii="Times New Roman" w:hAnsi="Times New Roman" w:cs="Times New Roman"/>
        </w:rPr>
        <w:t xml:space="preserve">, 201 So. 3d 100, 102 (Fla. 3d DCA 2015) (same); </w:t>
      </w:r>
      <w:r w:rsidRPr="00F044DF">
        <w:rPr>
          <w:rFonts w:ascii="Times New Roman" w:hAnsi="Times New Roman" w:cs="Times New Roman"/>
          <w:i/>
        </w:rPr>
        <w:t xml:space="preserve">Pinnacle Port </w:t>
      </w:r>
      <w:proofErr w:type="spellStart"/>
      <w:r w:rsidRPr="00F044DF">
        <w:rPr>
          <w:rFonts w:ascii="Times New Roman" w:hAnsi="Times New Roman" w:cs="Times New Roman"/>
          <w:i/>
        </w:rPr>
        <w:t>Cmty</w:t>
      </w:r>
      <w:proofErr w:type="spellEnd"/>
      <w:r w:rsidRPr="00F044DF">
        <w:rPr>
          <w:rFonts w:ascii="Times New Roman" w:hAnsi="Times New Roman" w:cs="Times New Roman"/>
          <w:i/>
        </w:rPr>
        <w:t xml:space="preserve">. </w:t>
      </w:r>
      <w:proofErr w:type="spellStart"/>
      <w:r w:rsidRPr="00F044DF">
        <w:rPr>
          <w:rFonts w:ascii="Times New Roman" w:hAnsi="Times New Roman" w:cs="Times New Roman"/>
          <w:i/>
        </w:rPr>
        <w:t>Ass'n</w:t>
      </w:r>
      <w:proofErr w:type="spellEnd"/>
      <w:r w:rsidRPr="00F044DF">
        <w:rPr>
          <w:rFonts w:ascii="Times New Roman" w:hAnsi="Times New Roman" w:cs="Times New Roman"/>
          <w:i/>
        </w:rPr>
        <w:t>, Inc. v. Orenstein</w:t>
      </w:r>
      <w:r w:rsidRPr="00F044DF">
        <w:rPr>
          <w:rFonts w:ascii="Times New Roman" w:hAnsi="Times New Roman" w:cs="Times New Roman"/>
        </w:rPr>
        <w:t>, 952 F.2d 375, 377–78 (11th Cir. 1992) (same).</w:t>
      </w:r>
    </w:p>
  </w:footnote>
  <w:footnote w:id="14">
    <w:p w:rsidRPr="00F044DF" w:rsidR="00F044DF" w:rsidP="000A003F" w:rsidRDefault="00F044DF" w14:paraId="06F02D7A" w14:textId="77777777">
      <w:pPr>
        <w:pStyle w:val="FootnoteText"/>
        <w:spacing w:before="120"/>
        <w:rPr>
          <w:rFonts w:ascii="Times New Roman" w:hAnsi="Times New Roman" w:cs="Times New Roman"/>
        </w:rPr>
      </w:pPr>
      <w:r w:rsidRPr="00F044DF">
        <w:rPr>
          <w:rStyle w:val="FootnoteReference"/>
          <w:rFonts w:ascii="Times New Roman" w:hAnsi="Times New Roman" w:cs="Times New Roman"/>
        </w:rPr>
        <w:footnoteRef/>
      </w:r>
      <w:r w:rsidRPr="00F044DF">
        <w:rPr>
          <w:rFonts w:ascii="Times New Roman" w:hAnsi="Times New Roman" w:cs="Times New Roman"/>
        </w:rPr>
        <w:t xml:space="preserve"> </w:t>
      </w:r>
      <w:r w:rsidRPr="00F044DF">
        <w:rPr>
          <w:rFonts w:ascii="Times New Roman" w:hAnsi="Times New Roman" w:cs="Times New Roman"/>
          <w:i/>
        </w:rPr>
        <w:t xml:space="preserve">Compare Pinnacle Port </w:t>
      </w:r>
      <w:proofErr w:type="spellStart"/>
      <w:r w:rsidRPr="00F044DF">
        <w:rPr>
          <w:rFonts w:ascii="Times New Roman" w:hAnsi="Times New Roman" w:cs="Times New Roman"/>
          <w:i/>
        </w:rPr>
        <w:t>Cmty</w:t>
      </w:r>
      <w:proofErr w:type="spellEnd"/>
      <w:r w:rsidRPr="00F044DF">
        <w:rPr>
          <w:rFonts w:ascii="Times New Roman" w:hAnsi="Times New Roman" w:cs="Times New Roman"/>
          <w:i/>
        </w:rPr>
        <w:t xml:space="preserve">. </w:t>
      </w:r>
      <w:proofErr w:type="spellStart"/>
      <w:r w:rsidRPr="00F044DF">
        <w:rPr>
          <w:rFonts w:ascii="Times New Roman" w:hAnsi="Times New Roman" w:cs="Times New Roman"/>
          <w:i/>
        </w:rPr>
        <w:t>Ass'n</w:t>
      </w:r>
      <w:proofErr w:type="spellEnd"/>
      <w:r w:rsidRPr="00F044DF">
        <w:rPr>
          <w:rFonts w:ascii="Times New Roman" w:hAnsi="Times New Roman" w:cs="Times New Roman"/>
          <w:i/>
        </w:rPr>
        <w:t>, Inc.</w:t>
      </w:r>
      <w:r w:rsidRPr="00F044DF">
        <w:rPr>
          <w:rFonts w:ascii="Times New Roman" w:hAnsi="Times New Roman" w:cs="Times New Roman"/>
        </w:rPr>
        <w:t xml:space="preserve">, 952 F.2d at </w:t>
      </w:r>
      <w:proofErr w:type="gramStart"/>
      <w:r w:rsidRPr="00F044DF">
        <w:rPr>
          <w:rFonts w:ascii="Times New Roman" w:hAnsi="Times New Roman" w:cs="Times New Roman"/>
        </w:rPr>
        <w:t>377–78</w:t>
      </w:r>
      <w:proofErr w:type="gramEnd"/>
      <w:r w:rsidRPr="00F044DF">
        <w:rPr>
          <w:rFonts w:ascii="Times New Roman" w:hAnsi="Times New Roman" w:cs="Times New Roman"/>
        </w:rPr>
        <w:t xml:space="preserve"> (“The stipulated repairs were intended not to enhance the assumed value of the property but to restore the walls to their original watertight state. The contracted work, then, was in the nature of repairs.”) </w:t>
      </w:r>
      <w:proofErr w:type="gramStart"/>
      <w:r w:rsidRPr="00F044DF">
        <w:rPr>
          <w:rFonts w:ascii="Times New Roman" w:hAnsi="Times New Roman" w:cs="Times New Roman"/>
          <w:i/>
        </w:rPr>
        <w:t>and</w:t>
      </w:r>
      <w:proofErr w:type="gramEnd"/>
      <w:r w:rsidRPr="00F044DF">
        <w:rPr>
          <w:rFonts w:ascii="Times New Roman" w:hAnsi="Times New Roman" w:cs="Times New Roman"/>
        </w:rPr>
        <w:t xml:space="preserve"> </w:t>
      </w:r>
      <w:r w:rsidRPr="00F044DF">
        <w:rPr>
          <w:rFonts w:ascii="Times New Roman" w:hAnsi="Times New Roman" w:cs="Times New Roman"/>
          <w:i/>
        </w:rPr>
        <w:t>Dominguez</w:t>
      </w:r>
      <w:r w:rsidRPr="00F044DF">
        <w:rPr>
          <w:rFonts w:ascii="Times New Roman" w:hAnsi="Times New Roman" w:cs="Times New Roman"/>
        </w:rPr>
        <w:t xml:space="preserve">, 201 So. 3d at 102 (collecting cases, and finding that, pool filter, as component part of swimming pool, did not constitute an “improvement to real property”) </w:t>
      </w:r>
      <w:r w:rsidRPr="00F044DF">
        <w:rPr>
          <w:rFonts w:ascii="Times New Roman" w:hAnsi="Times New Roman" w:cs="Times New Roman"/>
          <w:i/>
        </w:rPr>
        <w:t>with Harrell v. Ryland Grp.</w:t>
      </w:r>
      <w:r w:rsidRPr="00F044DF">
        <w:rPr>
          <w:rFonts w:ascii="Times New Roman" w:hAnsi="Times New Roman" w:cs="Times New Roman"/>
        </w:rPr>
        <w:t>, 277 So. 3d 292, 298 (Fla. 1st DCA 2019) (finding that act of “combining” a ladder to attic with hardware attachments met the plain, ordinary meaning of “constructed,” and therefore constituted an “improvement to real property”).</w:t>
      </w:r>
    </w:p>
  </w:footnote>
  <w:footnote w:id="15">
    <w:p w:rsidRPr="00A8416A" w:rsidR="00F044DF" w:rsidP="000A003F" w:rsidRDefault="00F044DF" w14:paraId="470D64D5" w14:textId="141D4130">
      <w:pPr>
        <w:pStyle w:val="FootnoteText"/>
        <w:spacing w:before="120"/>
        <w:rPr>
          <w:rFonts w:ascii="Times New Roman" w:hAnsi="Times New Roman" w:cs="Times New Roman"/>
        </w:rPr>
      </w:pPr>
      <w:r w:rsidRPr="00A8416A">
        <w:rPr>
          <w:rStyle w:val="FootnoteReference"/>
          <w:rFonts w:ascii="Times New Roman" w:hAnsi="Times New Roman" w:cs="Times New Roman"/>
        </w:rPr>
        <w:footnoteRef/>
      </w:r>
      <w:r w:rsidRPr="00A8416A">
        <w:rPr>
          <w:rFonts w:ascii="Times New Roman" w:hAnsi="Times New Roman" w:cs="Times New Roman"/>
        </w:rPr>
        <w:t xml:space="preserve"> 42 </w:t>
      </w:r>
      <w:r w:rsidRPr="00A8416A">
        <w:rPr>
          <w:rFonts w:ascii="Times New Roman" w:hAnsi="Times New Roman" w:cs="Times New Roman"/>
          <w:i/>
        </w:rPr>
        <w:t xml:space="preserve">Fla. </w:t>
      </w:r>
      <w:proofErr w:type="spellStart"/>
      <w:r w:rsidRPr="00A8416A">
        <w:rPr>
          <w:rFonts w:ascii="Times New Roman" w:hAnsi="Times New Roman" w:cs="Times New Roman"/>
          <w:i/>
        </w:rPr>
        <w:t>Jur</w:t>
      </w:r>
      <w:proofErr w:type="spellEnd"/>
      <w:r w:rsidRPr="00A8416A">
        <w:rPr>
          <w:rFonts w:ascii="Times New Roman" w:hAnsi="Times New Roman" w:cs="Times New Roman"/>
          <w:i/>
        </w:rPr>
        <w:t xml:space="preserve"> 2d Property</w:t>
      </w:r>
      <w:r w:rsidRPr="00A8416A">
        <w:rPr>
          <w:rFonts w:ascii="Times New Roman" w:hAnsi="Times New Roman" w:cs="Times New Roman"/>
        </w:rPr>
        <w:t xml:space="preserve"> § </w:t>
      </w:r>
      <w:proofErr w:type="gramStart"/>
      <w:r w:rsidRPr="00A8416A">
        <w:rPr>
          <w:rFonts w:ascii="Times New Roman" w:hAnsi="Times New Roman" w:cs="Times New Roman"/>
        </w:rPr>
        <w:t>7</w:t>
      </w:r>
      <w:proofErr w:type="gramEnd"/>
      <w:r w:rsidRPr="00A8416A">
        <w:rPr>
          <w:rFonts w:ascii="Times New Roman" w:hAnsi="Times New Roman" w:cs="Times New Roman"/>
        </w:rPr>
        <w:t xml:space="preserve"> (Mar. 2024).</w:t>
      </w:r>
    </w:p>
  </w:footnote>
  <w:footnote w:id="16">
    <w:p w:rsidRPr="00C70A24" w:rsidR="00362530" w:rsidP="000A003F" w:rsidRDefault="00362530" w14:paraId="67E20C1A" w14:textId="1FAA8660">
      <w:pPr>
        <w:pStyle w:val="FootnoteText"/>
        <w:spacing w:before="120"/>
        <w:rPr>
          <w:rFonts w:ascii="Times New Roman" w:hAnsi="Times New Roman" w:cs="Times New Roman"/>
        </w:rPr>
      </w:pPr>
      <w:r w:rsidRPr="00C70A24">
        <w:rPr>
          <w:rStyle w:val="FootnoteReference"/>
          <w:rFonts w:ascii="Times New Roman" w:hAnsi="Times New Roman" w:cs="Times New Roman"/>
        </w:rPr>
        <w:footnoteRef/>
      </w:r>
      <w:r w:rsidRPr="00C70A24">
        <w:rPr>
          <w:rFonts w:ascii="Times New Roman" w:hAnsi="Times New Roman" w:cs="Times New Roman"/>
        </w:rPr>
        <w:t xml:space="preserve"> </w:t>
      </w:r>
      <w:r w:rsidRPr="00C70A24" w:rsidR="00C70A24">
        <w:rPr>
          <w:rFonts w:ascii="Times New Roman" w:hAnsi="Times New Roman" w:cs="Times New Roman"/>
        </w:rPr>
        <w:t>Section 553.473(1</w:t>
      </w:r>
      <w:proofErr w:type="gramStart"/>
      <w:r w:rsidRPr="00C70A24" w:rsidR="00C70A24">
        <w:rPr>
          <w:rFonts w:ascii="Times New Roman" w:hAnsi="Times New Roman" w:cs="Times New Roman"/>
        </w:rPr>
        <w:t>)(</w:t>
      </w:r>
      <w:proofErr w:type="gramEnd"/>
      <w:r w:rsidRPr="00C70A24" w:rsidR="00C70A24">
        <w:rPr>
          <w:rFonts w:ascii="Times New Roman" w:hAnsi="Times New Roman" w:cs="Times New Roman"/>
        </w:rPr>
        <w:t xml:space="preserve">a), Florida Statutes (2023) authorizes the Florida Building Commission to adopt the Florida Building Code, which courts recognize as being statutory in nature.  </w:t>
      </w:r>
      <w:r w:rsidRPr="00C70A24" w:rsidR="00C70A24">
        <w:rPr>
          <w:rFonts w:ascii="Times New Roman" w:hAnsi="Times New Roman" w:cs="Times New Roman"/>
          <w:i/>
        </w:rPr>
        <w:t xml:space="preserve">Edward J. Seibert, A.I.A. Architect &amp; Planner, P.A. v. Bayport Beach &amp; Tennis Club </w:t>
      </w:r>
      <w:proofErr w:type="spellStart"/>
      <w:r w:rsidRPr="00C70A24" w:rsidR="00C70A24">
        <w:rPr>
          <w:rFonts w:ascii="Times New Roman" w:hAnsi="Times New Roman" w:cs="Times New Roman"/>
          <w:i/>
        </w:rPr>
        <w:t>Ass'n</w:t>
      </w:r>
      <w:proofErr w:type="spellEnd"/>
      <w:r w:rsidRPr="00C70A24" w:rsidR="00C70A24">
        <w:rPr>
          <w:rFonts w:ascii="Times New Roman" w:hAnsi="Times New Roman" w:cs="Times New Roman"/>
          <w:i/>
        </w:rPr>
        <w:t>, Inc.</w:t>
      </w:r>
      <w:r w:rsidRPr="00C70A24" w:rsidR="00C70A24">
        <w:rPr>
          <w:rFonts w:ascii="Times New Roman" w:hAnsi="Times New Roman" w:cs="Times New Roman"/>
        </w:rPr>
        <w:t>, 573 So. 2d 889, 892 (Fla. Dist. Ct. App. 1990) (finding that only court, and not experts, are permitted interpret the meaning of the code, and instruct the jury on the code).</w:t>
      </w:r>
      <w:r w:rsidR="00D12DAF">
        <w:rPr>
          <w:rFonts w:ascii="Times New Roman" w:hAnsi="Times New Roman" w:cs="Times New Roman"/>
        </w:rPr>
        <w:t xml:space="preserve">  </w:t>
      </w:r>
      <w:r w:rsidR="00752AB8">
        <w:rPr>
          <w:rFonts w:ascii="Times New Roman" w:hAnsi="Times New Roman" w:cs="Times New Roman"/>
        </w:rPr>
        <w:t xml:space="preserve">The above-quoted definitions </w:t>
      </w:r>
      <w:proofErr w:type="gramStart"/>
      <w:r w:rsidR="00752AB8">
        <w:rPr>
          <w:rFonts w:ascii="Times New Roman" w:hAnsi="Times New Roman" w:cs="Times New Roman"/>
        </w:rPr>
        <w:t>are taken</w:t>
      </w:r>
      <w:proofErr w:type="gramEnd"/>
      <w:r w:rsidR="00752AB8">
        <w:rPr>
          <w:rFonts w:ascii="Times New Roman" w:hAnsi="Times New Roman" w:cs="Times New Roman"/>
        </w:rPr>
        <w:t xml:space="preserve"> from the Florida Building Code, 8</w:t>
      </w:r>
      <w:r w:rsidRPr="00752AB8" w:rsidR="00752AB8">
        <w:rPr>
          <w:rFonts w:ascii="Times New Roman" w:hAnsi="Times New Roman" w:cs="Times New Roman"/>
          <w:vertAlign w:val="superscript"/>
        </w:rPr>
        <w:t>th</w:t>
      </w:r>
      <w:r w:rsidR="00752AB8">
        <w:rPr>
          <w:rFonts w:ascii="Times New Roman" w:hAnsi="Times New Roman" w:cs="Times New Roman"/>
        </w:rPr>
        <w:t xml:space="preserve"> Edition (2023).  </w:t>
      </w:r>
      <w:r w:rsidR="00D12DAF">
        <w:rPr>
          <w:rFonts w:ascii="Times New Roman" w:hAnsi="Times New Roman" w:cs="Times New Roman"/>
        </w:rPr>
        <w:t xml:space="preserve">Current and prior versions of the Florida Building Code can be accessed </w:t>
      </w:r>
      <w:proofErr w:type="gramStart"/>
      <w:r w:rsidR="00D12DAF">
        <w:rPr>
          <w:rFonts w:ascii="Times New Roman" w:hAnsi="Times New Roman" w:cs="Times New Roman"/>
        </w:rPr>
        <w:t>at:</w:t>
      </w:r>
      <w:proofErr w:type="gramEnd"/>
      <w:r w:rsidR="00D12DAF">
        <w:rPr>
          <w:rFonts w:ascii="Times New Roman" w:hAnsi="Times New Roman" w:cs="Times New Roman"/>
        </w:rPr>
        <w:t xml:space="preserve"> </w:t>
      </w:r>
      <w:hyperlink w:history="1" r:id="rId5">
        <w:r w:rsidRPr="00751C31" w:rsidR="00D12DAF">
          <w:rPr>
            <w:rStyle w:val="Hyperlink"/>
            <w:rFonts w:ascii="Times New Roman" w:hAnsi="Times New Roman" w:cs="Times New Roman"/>
          </w:rPr>
          <w:t>https://codes.iccsafe.org/codes/florida</w:t>
        </w:r>
      </w:hyperlink>
      <w:r w:rsidR="00752AB8">
        <w:rPr>
          <w:rFonts w:ascii="Times New Roman" w:hAnsi="Times New Roman" w:cs="Times New Roman"/>
        </w:rPr>
        <w:t xml:space="preserve"> (last accessed: </w:t>
      </w:r>
      <w:r w:rsidR="00C470CA">
        <w:rPr>
          <w:rFonts w:ascii="Times New Roman" w:hAnsi="Times New Roman" w:cs="Times New Roman"/>
        </w:rPr>
        <w:t>May 4</w:t>
      </w:r>
      <w:r w:rsidR="00D12DAF">
        <w:rPr>
          <w:rFonts w:ascii="Times New Roman" w:hAnsi="Times New Roman" w:cs="Times New Roman"/>
        </w:rPr>
        <w:t>, 2024).</w:t>
      </w:r>
    </w:p>
  </w:footnote>
  <w:footnote w:id="17">
    <w:p w:rsidRPr="000750C2" w:rsidR="000750C2" w:rsidRDefault="000750C2" w14:paraId="3D086209" w14:textId="08BF7C8D">
      <w:pPr>
        <w:pStyle w:val="FootnoteText"/>
        <w:rPr>
          <w:rFonts w:ascii="Times New Roman" w:hAnsi="Times New Roman" w:cs="Times New Roman"/>
        </w:rPr>
      </w:pPr>
      <w:r w:rsidRPr="000750C2">
        <w:rPr>
          <w:rStyle w:val="FootnoteReference"/>
          <w:rFonts w:ascii="Times New Roman" w:hAnsi="Times New Roman" w:cs="Times New Roman"/>
        </w:rPr>
        <w:footnoteRef/>
      </w:r>
      <w:r w:rsidRPr="000750C2">
        <w:rPr>
          <w:rFonts w:ascii="Times New Roman" w:hAnsi="Times New Roman" w:cs="Times New Roman"/>
        </w:rPr>
        <w:t xml:space="preserve"> </w:t>
      </w:r>
      <w:r>
        <w:rPr>
          <w:rFonts w:ascii="Times New Roman" w:hAnsi="Times New Roman" w:cs="Times New Roman"/>
          <w:i/>
        </w:rPr>
        <w:t>See</w:t>
      </w:r>
      <w:r>
        <w:rPr>
          <w:rFonts w:ascii="Times New Roman" w:hAnsi="Times New Roman" w:cs="Times New Roman"/>
        </w:rPr>
        <w:t xml:space="preserve"> Section 111, Certificate of Occupancy, </w:t>
      </w:r>
      <w:r>
        <w:rPr>
          <w:rFonts w:ascii="Times New Roman" w:hAnsi="Times New Roman" w:cs="Times New Roman"/>
          <w:i/>
        </w:rPr>
        <w:t>Florida Building Code, Building, 8</w:t>
      </w:r>
      <w:r w:rsidRPr="000750C2">
        <w:rPr>
          <w:rFonts w:ascii="Times New Roman" w:hAnsi="Times New Roman" w:cs="Times New Roman"/>
          <w:i/>
          <w:vertAlign w:val="superscript"/>
        </w:rPr>
        <w:t>th</w:t>
      </w:r>
      <w:r>
        <w:rPr>
          <w:rFonts w:ascii="Times New Roman" w:hAnsi="Times New Roman" w:cs="Times New Roman"/>
          <w:i/>
        </w:rPr>
        <w:t xml:space="preserve"> Ed</w:t>
      </w:r>
      <w:proofErr w:type="gramStart"/>
      <w:r>
        <w:rPr>
          <w:rFonts w:ascii="Times New Roman" w:hAnsi="Times New Roman" w:cs="Times New Roman"/>
          <w:i/>
        </w:rPr>
        <w:t>..</w:t>
      </w:r>
      <w:proofErr w:type="gramEnd"/>
      <w:r>
        <w:rPr>
          <w:rFonts w:ascii="Times New Roman" w:hAnsi="Times New Roman" w:cs="Times New Roman"/>
        </w:rPr>
        <w:t xml:space="preserve">  </w:t>
      </w:r>
      <w:r w:rsidRPr="000750C2">
        <w:rPr>
          <w:rFonts w:ascii="Times New Roman" w:hAnsi="Times New Roman" w:cs="Times New Roman"/>
        </w:rPr>
        <w:t>Anecdotally, the CLC membership has reported that CCs are not required to be issued by the building official, and often times, are either not issued, or issued only upon request of the owner or contractor (and, in some cases, months or years after the system has passed final inspection).</w:t>
      </w:r>
    </w:p>
  </w:footnote>
  <w:footnote w:id="18">
    <w:p w:rsidRPr="00F044DF" w:rsidR="00F044DF" w:rsidP="000A003F" w:rsidRDefault="00F044DF" w14:paraId="65F741A5" w14:textId="77777777">
      <w:pPr>
        <w:pStyle w:val="FootnoteText"/>
        <w:spacing w:before="120"/>
        <w:rPr>
          <w:rFonts w:ascii="Times New Roman" w:hAnsi="Times New Roman" w:cs="Times New Roman"/>
        </w:rPr>
      </w:pPr>
      <w:r w:rsidRPr="00F044DF">
        <w:rPr>
          <w:rStyle w:val="FootnoteReference"/>
          <w:rFonts w:ascii="Times New Roman" w:hAnsi="Times New Roman" w:cs="Times New Roman"/>
        </w:rPr>
        <w:footnoteRef/>
      </w:r>
      <w:r w:rsidRPr="00F044DF">
        <w:rPr>
          <w:rFonts w:ascii="Times New Roman" w:hAnsi="Times New Roman" w:cs="Times New Roman"/>
        </w:rPr>
        <w:t xml:space="preserve"> </w:t>
      </w:r>
      <w:r w:rsidRPr="00F044DF">
        <w:rPr>
          <w:rFonts w:ascii="Times New Roman" w:hAnsi="Times New Roman" w:cs="Times New Roman"/>
          <w:i/>
        </w:rPr>
        <w:t>Compare</w:t>
      </w:r>
      <w:r w:rsidRPr="00F044DF">
        <w:rPr>
          <w:rFonts w:ascii="Times New Roman" w:hAnsi="Times New Roman" w:cs="Times New Roman"/>
        </w:rPr>
        <w:t xml:space="preserve"> </w:t>
      </w:r>
      <w:r w:rsidRPr="00F044DF">
        <w:rPr>
          <w:rFonts w:ascii="Times New Roman" w:hAnsi="Times New Roman" w:cs="Times New Roman"/>
          <w:i/>
        </w:rPr>
        <w:t>Mack Indus., Inc. v. Donald W. Nelson, Inc.</w:t>
      </w:r>
      <w:r w:rsidRPr="00F044DF">
        <w:rPr>
          <w:rFonts w:ascii="Times New Roman" w:hAnsi="Times New Roman" w:cs="Times New Roman"/>
        </w:rPr>
        <w:t xml:space="preserve">, 134 So. </w:t>
      </w:r>
      <w:proofErr w:type="gramStart"/>
      <w:r w:rsidRPr="00F044DF">
        <w:rPr>
          <w:rFonts w:ascii="Times New Roman" w:hAnsi="Times New Roman" w:cs="Times New Roman"/>
        </w:rPr>
        <w:t xml:space="preserve">2d 821 (Fla. 2d DCA 1961) (finding abandonment where excavation and fill had been performed on property at least four months prior to recording of mortgage and on date mortgage was recorded the filled excavation had weeds and grass growing upon it, the construction was not prosecuted with reasonable promptness so as to render operations sufficiently manifest and substantial to notify interested persons that work was progressing or that there had been no material abandonment) </w:t>
      </w:r>
      <w:r w:rsidRPr="00F044DF">
        <w:rPr>
          <w:rFonts w:ascii="Times New Roman" w:hAnsi="Times New Roman" w:cs="Times New Roman"/>
          <w:i/>
        </w:rPr>
        <w:t>with</w:t>
      </w:r>
      <w:r w:rsidRPr="00F044DF">
        <w:rPr>
          <w:rFonts w:ascii="Times New Roman" w:hAnsi="Times New Roman" w:cs="Times New Roman"/>
        </w:rPr>
        <w:t xml:space="preserve"> </w:t>
      </w:r>
      <w:r w:rsidRPr="00F044DF">
        <w:rPr>
          <w:rFonts w:ascii="Times New Roman" w:hAnsi="Times New Roman" w:cs="Times New Roman"/>
          <w:i/>
        </w:rPr>
        <w:t xml:space="preserve">Fla. Recycling </w:t>
      </w:r>
      <w:proofErr w:type="spellStart"/>
      <w:r w:rsidRPr="00F044DF">
        <w:rPr>
          <w:rFonts w:ascii="Times New Roman" w:hAnsi="Times New Roman" w:cs="Times New Roman"/>
          <w:i/>
        </w:rPr>
        <w:t>Servs</w:t>
      </w:r>
      <w:proofErr w:type="spellEnd"/>
      <w:r w:rsidRPr="00F044DF">
        <w:rPr>
          <w:rFonts w:ascii="Times New Roman" w:hAnsi="Times New Roman" w:cs="Times New Roman"/>
          <w:i/>
        </w:rPr>
        <w:t>., Inc. v. Greater Orlando Auto Auction, Inc.</w:t>
      </w:r>
      <w:r w:rsidRPr="00F044DF">
        <w:rPr>
          <w:rFonts w:ascii="Times New Roman" w:hAnsi="Times New Roman" w:cs="Times New Roman"/>
        </w:rPr>
        <w:t>, 898 So.</w:t>
      </w:r>
      <w:proofErr w:type="gramEnd"/>
      <w:r w:rsidRPr="00F044DF">
        <w:rPr>
          <w:rFonts w:ascii="Times New Roman" w:hAnsi="Times New Roman" w:cs="Times New Roman"/>
        </w:rPr>
        <w:t xml:space="preserve"> 2d 129, 131 (Fla. 5th DCA 2005) (recognizing that, in circumstances where there is a written construction contract, court must examine whether terminating party followed notice and opportunity to cure provisions in agreement to determine whether termination rights properly exercised)</w:t>
      </w:r>
    </w:p>
  </w:footnote>
  <w:footnote w:id="19">
    <w:p w:rsidR="00D821CC" w:rsidRDefault="00D821CC" w14:paraId="2B3ED0E7" w14:textId="2E696915">
      <w:pPr>
        <w:pStyle w:val="FootnoteText"/>
        <w:rPr>
          <w:rFonts w:ascii="Times New Roman" w:hAnsi="Times New Roman" w:cs="Times New Roman"/>
        </w:rPr>
      </w:pPr>
      <w:r w:rsidRPr="00D821CC">
        <w:rPr>
          <w:rStyle w:val="FootnoteReference"/>
          <w:rFonts w:ascii="Times New Roman" w:hAnsi="Times New Roman" w:cs="Times New Roman"/>
        </w:rPr>
        <w:footnoteRef/>
      </w:r>
      <w:r w:rsidRPr="00D821CC">
        <w:rPr>
          <w:rFonts w:ascii="Times New Roman" w:hAnsi="Times New Roman" w:cs="Times New Roman"/>
        </w:rPr>
        <w:t xml:space="preserve"> In 201</w:t>
      </w:r>
      <w:r w:rsidR="003749AD">
        <w:rPr>
          <w:rFonts w:ascii="Times New Roman" w:hAnsi="Times New Roman" w:cs="Times New Roman"/>
        </w:rPr>
        <w:t>7</w:t>
      </w:r>
      <w:r w:rsidRPr="00D821CC">
        <w:rPr>
          <w:rFonts w:ascii="Times New Roman" w:hAnsi="Times New Roman" w:cs="Times New Roman"/>
        </w:rPr>
        <w:t xml:space="preserve">, the Florida </w:t>
      </w:r>
      <w:r w:rsidR="00FE0A2F">
        <w:rPr>
          <w:rFonts w:ascii="Times New Roman" w:hAnsi="Times New Roman" w:cs="Times New Roman"/>
        </w:rPr>
        <w:t>L</w:t>
      </w:r>
      <w:r w:rsidRPr="00D821CC">
        <w:rPr>
          <w:rFonts w:ascii="Times New Roman" w:hAnsi="Times New Roman" w:cs="Times New Roman"/>
        </w:rPr>
        <w:t xml:space="preserve">egislature defined “completion of the contract” as “the later of the date of final performance of all the contracted services or the date that final payment for such services becomes due without regard to the date final payment is made,” in response to the Fifth District Court of Appeal’s decision in </w:t>
      </w:r>
      <w:r w:rsidRPr="00D821CC">
        <w:rPr>
          <w:rFonts w:ascii="Times New Roman" w:hAnsi="Times New Roman" w:cs="Times New Roman"/>
          <w:i/>
        </w:rPr>
        <w:t xml:space="preserve">Cypress Fairway Condo. </w:t>
      </w:r>
      <w:proofErr w:type="gramStart"/>
      <w:r w:rsidRPr="00D821CC">
        <w:rPr>
          <w:rFonts w:ascii="Times New Roman" w:hAnsi="Times New Roman" w:cs="Times New Roman"/>
          <w:i/>
        </w:rPr>
        <w:t>v. Bergeron</w:t>
      </w:r>
      <w:proofErr w:type="gramEnd"/>
      <w:r w:rsidRPr="00D821CC">
        <w:rPr>
          <w:rFonts w:ascii="Times New Roman" w:hAnsi="Times New Roman" w:cs="Times New Roman"/>
          <w:i/>
        </w:rPr>
        <w:t xml:space="preserve"> Const. Co. Inc</w:t>
      </w:r>
      <w:r w:rsidRPr="00D821CC">
        <w:rPr>
          <w:rFonts w:ascii="Times New Roman" w:hAnsi="Times New Roman" w:cs="Times New Roman"/>
        </w:rPr>
        <w:t xml:space="preserve">..  164 So. 3d 706, 708 (Fla. 5th DCA 2015) (holding that “completion of the contract means completion of performance by both sides of the contract, not merely </w:t>
      </w:r>
      <w:r w:rsidR="003749AD">
        <w:rPr>
          <w:rFonts w:ascii="Times New Roman" w:hAnsi="Times New Roman" w:cs="Times New Roman"/>
        </w:rPr>
        <w:t xml:space="preserve">performance by the contractor”); Feldman, B., </w:t>
      </w:r>
      <w:r w:rsidR="003749AD">
        <w:rPr>
          <w:rFonts w:ascii="Times New Roman" w:hAnsi="Times New Roman" w:cs="Times New Roman"/>
          <w:i/>
        </w:rPr>
        <w:t>A Practical Guide to Florida’s Construction Statute of Repose After 2017 Legislative Changes</w:t>
      </w:r>
      <w:r w:rsidR="003749AD">
        <w:rPr>
          <w:rFonts w:ascii="Times New Roman" w:hAnsi="Times New Roman" w:cs="Times New Roman"/>
        </w:rPr>
        <w:t>, Vo</w:t>
      </w:r>
      <w:r w:rsidR="00C049F3">
        <w:rPr>
          <w:rFonts w:ascii="Times New Roman" w:hAnsi="Times New Roman" w:cs="Times New Roman"/>
        </w:rPr>
        <w:t>l</w:t>
      </w:r>
      <w:r w:rsidR="003749AD">
        <w:rPr>
          <w:rFonts w:ascii="Times New Roman" w:hAnsi="Times New Roman" w:cs="Times New Roman"/>
        </w:rPr>
        <w:t xml:space="preserve">. XXXIX, No. 1 (Winter 2017-2018); </w:t>
      </w:r>
    </w:p>
    <w:p w:rsidRPr="003749AD" w:rsidR="00067DC4" w:rsidRDefault="00067DC4" w14:paraId="47C1F37C" w14:textId="77777777">
      <w:pPr>
        <w:pStyle w:val="FootnoteText"/>
        <w:rPr>
          <w:rFonts w:ascii="Times New Roman" w:hAnsi="Times New Roman" w:cs="Times New Roman"/>
        </w:rPr>
      </w:pPr>
    </w:p>
  </w:footnote>
  <w:footnote w:id="20">
    <w:p w:rsidR="00067DC4" w:rsidRDefault="00067DC4" w14:paraId="1E9117F2" w14:textId="42F39137">
      <w:pPr>
        <w:pStyle w:val="FootnoteText"/>
        <w:rPr>
          <w:rFonts w:ascii="Times New Roman" w:hAnsi="Times New Roman" w:cs="Times New Roman"/>
        </w:rPr>
      </w:pPr>
      <w:r w:rsidRPr="00067DC4">
        <w:rPr>
          <w:rStyle w:val="FootnoteReference"/>
          <w:rFonts w:ascii="Times New Roman" w:hAnsi="Times New Roman" w:cs="Times New Roman"/>
        </w:rPr>
        <w:footnoteRef/>
      </w:r>
      <w:r w:rsidRPr="00067DC4">
        <w:rPr>
          <w:rFonts w:ascii="Times New Roman" w:hAnsi="Times New Roman" w:cs="Times New Roman"/>
        </w:rPr>
        <w:t xml:space="preserve"> </w:t>
      </w:r>
      <w:r w:rsidRPr="00067DC4">
        <w:rPr>
          <w:rFonts w:ascii="Times New Roman" w:hAnsi="Times New Roman" w:cs="Times New Roman"/>
          <w:i/>
        </w:rPr>
        <w:t>Id.</w:t>
      </w:r>
      <w:r w:rsidRPr="00067DC4">
        <w:rPr>
          <w:rFonts w:ascii="Times New Roman" w:hAnsi="Times New Roman" w:cs="Times New Roman"/>
        </w:rPr>
        <w:t>;</w:t>
      </w:r>
      <w:r>
        <w:rPr>
          <w:rFonts w:ascii="Times New Roman" w:hAnsi="Times New Roman" w:cs="Times New Roman"/>
        </w:rPr>
        <w:t xml:space="preserve"> </w:t>
      </w:r>
      <w:r w:rsidRPr="00067DC4">
        <w:rPr>
          <w:rFonts w:ascii="Times New Roman" w:hAnsi="Times New Roman" w:cs="Times New Roman"/>
          <w:i/>
        </w:rPr>
        <w:t>Chapter 2017-37</w:t>
      </w:r>
      <w:r w:rsidRPr="00067DC4">
        <w:rPr>
          <w:rFonts w:ascii="Times New Roman" w:hAnsi="Times New Roman" w:cs="Times New Roman"/>
        </w:rPr>
        <w:t>, Laws of Florida</w:t>
      </w:r>
      <w:r>
        <w:rPr>
          <w:rFonts w:ascii="Times New Roman" w:hAnsi="Times New Roman" w:cs="Times New Roman"/>
        </w:rPr>
        <w:t xml:space="preserve"> (amending </w:t>
      </w:r>
      <w:r w:rsidRPr="00067DC4">
        <w:rPr>
          <w:rFonts w:ascii="Times New Roman" w:hAnsi="Times New Roman" w:cs="Times New Roman"/>
          <w:i/>
        </w:rPr>
        <w:t>Fla. Stat.</w:t>
      </w:r>
      <w:r>
        <w:rPr>
          <w:rFonts w:ascii="Times New Roman" w:hAnsi="Times New Roman" w:cs="Times New Roman"/>
        </w:rPr>
        <w:t xml:space="preserve"> §95(11</w:t>
      </w:r>
      <w:proofErr w:type="gramStart"/>
      <w:r>
        <w:rPr>
          <w:rFonts w:ascii="Times New Roman" w:hAnsi="Times New Roman" w:cs="Times New Roman"/>
        </w:rPr>
        <w:t>)(</w:t>
      </w:r>
      <w:proofErr w:type="gramEnd"/>
      <w:r>
        <w:rPr>
          <w:rFonts w:ascii="Times New Roman" w:hAnsi="Times New Roman" w:cs="Times New Roman"/>
        </w:rPr>
        <w:t>3)(c), effective July 1, 2017)</w:t>
      </w:r>
      <w:r w:rsidRPr="00067DC4">
        <w:rPr>
          <w:rFonts w:ascii="Times New Roman" w:hAnsi="Times New Roman" w:cs="Times New Roman"/>
        </w:rPr>
        <w:t>.</w:t>
      </w:r>
    </w:p>
    <w:p w:rsidRPr="00067DC4" w:rsidR="00067DC4" w:rsidRDefault="00067DC4" w14:paraId="1516D575" w14:textId="77777777">
      <w:pPr>
        <w:pStyle w:val="FootnoteText"/>
        <w:rPr>
          <w:rFonts w:ascii="Times New Roman" w:hAnsi="Times New Roman" w:cs="Times New Roman"/>
          <w:u w:val="single"/>
        </w:rPr>
      </w:pPr>
    </w:p>
  </w:footnote>
  <w:footnote w:id="21">
    <w:p w:rsidRPr="00067DC4" w:rsidR="00067DC4" w:rsidRDefault="00067DC4" w14:paraId="78F3C053" w14:textId="79C734D5">
      <w:pPr>
        <w:pStyle w:val="FootnoteText"/>
        <w:rPr>
          <w:rFonts w:ascii="Times New Roman" w:hAnsi="Times New Roman" w:cs="Times New Roman"/>
        </w:rPr>
      </w:pPr>
      <w:r w:rsidRPr="00067DC4">
        <w:rPr>
          <w:rStyle w:val="FootnoteReference"/>
          <w:rFonts w:ascii="Times New Roman" w:hAnsi="Times New Roman" w:cs="Times New Roman"/>
        </w:rPr>
        <w:footnoteRef/>
      </w:r>
      <w:r w:rsidRPr="00067DC4">
        <w:rPr>
          <w:rFonts w:ascii="Times New Roman" w:hAnsi="Times New Roman" w:cs="Times New Roman"/>
        </w:rPr>
        <w:t xml:space="preserve"> Chapter 2018-97, Laws of Florida (amending </w:t>
      </w:r>
      <w:r w:rsidRPr="00067DC4">
        <w:rPr>
          <w:rFonts w:ascii="Times New Roman" w:hAnsi="Times New Roman" w:cs="Times New Roman"/>
          <w:i/>
        </w:rPr>
        <w:t>Fla. Stat.</w:t>
      </w:r>
      <w:r w:rsidRPr="00067DC4">
        <w:rPr>
          <w:rFonts w:ascii="Times New Roman" w:hAnsi="Times New Roman" w:cs="Times New Roman"/>
        </w:rPr>
        <w:t xml:space="preserve"> §95. 11(3</w:t>
      </w:r>
      <w:proofErr w:type="gramStart"/>
      <w:r w:rsidRPr="00067DC4">
        <w:rPr>
          <w:rFonts w:ascii="Times New Roman" w:hAnsi="Times New Roman" w:cs="Times New Roman"/>
        </w:rPr>
        <w:t>)(</w:t>
      </w:r>
      <w:proofErr w:type="gramEnd"/>
      <w:r w:rsidRPr="00067DC4">
        <w:rPr>
          <w:rFonts w:ascii="Times New Roman" w:hAnsi="Times New Roman" w:cs="Times New Roman"/>
        </w:rPr>
        <w:t xml:space="preserve">c), effective July 1, 2018); </w:t>
      </w:r>
      <w:r w:rsidRPr="00067DC4">
        <w:rPr>
          <w:rFonts w:ascii="Times New Roman" w:hAnsi="Times New Roman" w:cs="Times New Roman"/>
          <w:i/>
        </w:rPr>
        <w:t>See</w:t>
      </w:r>
      <w:r w:rsidRPr="00067DC4">
        <w:rPr>
          <w:rFonts w:ascii="Times New Roman" w:hAnsi="Times New Roman" w:cs="Times New Roman"/>
        </w:rPr>
        <w:t xml:space="preserve"> Wright, W.C, Fuente, J., Heckert, K., </w:t>
      </w:r>
      <w:proofErr w:type="spellStart"/>
      <w:r w:rsidRPr="00067DC4">
        <w:rPr>
          <w:rFonts w:ascii="Times New Roman" w:hAnsi="Times New Roman" w:cs="Times New Roman"/>
        </w:rPr>
        <w:t>Strady</w:t>
      </w:r>
      <w:proofErr w:type="spellEnd"/>
      <w:r w:rsidRPr="00067DC4">
        <w:rPr>
          <w:rFonts w:ascii="Times New Roman" w:hAnsi="Times New Roman" w:cs="Times New Roman"/>
        </w:rPr>
        <w:t xml:space="preserve">, M., </w:t>
      </w:r>
      <w:r w:rsidRPr="00067DC4">
        <w:rPr>
          <w:rFonts w:ascii="Times New Roman" w:hAnsi="Times New Roman" w:cs="Times New Roman"/>
          <w:i/>
        </w:rPr>
        <w:t>Take-Two: Legislature Amends Florida’s Construction Statute of Limitations and Repose Again in 2018</w:t>
      </w:r>
      <w:r>
        <w:rPr>
          <w:rFonts w:ascii="Times New Roman" w:hAnsi="Times New Roman" w:cs="Times New Roman"/>
        </w:rPr>
        <w:t>,</w:t>
      </w:r>
      <w:r w:rsidRPr="00067DC4">
        <w:rPr>
          <w:rFonts w:ascii="Times New Roman" w:hAnsi="Times New Roman" w:cs="Times New Roman"/>
        </w:rPr>
        <w:t xml:space="preserve"> p. 8</w:t>
      </w:r>
      <w:r>
        <w:rPr>
          <w:rFonts w:ascii="Times New Roman" w:hAnsi="Times New Roman" w:cs="Times New Roman"/>
        </w:rPr>
        <w:t xml:space="preserve"> (discussing changes)</w:t>
      </w:r>
      <w:r w:rsidRPr="00067DC4">
        <w:rPr>
          <w:rFonts w:ascii="Times New Roman" w:hAnsi="Times New Roman" w:cs="Times New Roman"/>
        </w:rPr>
        <w:t>.</w:t>
      </w:r>
    </w:p>
  </w:footnote>
  <w:footnote w:id="22">
    <w:p w:rsidRPr="004423E0" w:rsidR="004423E0" w:rsidP="000A003F" w:rsidRDefault="004423E0" w14:paraId="599E4EFA" w14:textId="77777777">
      <w:pPr>
        <w:pStyle w:val="FootnoteText"/>
        <w:spacing w:before="120"/>
        <w:rPr>
          <w:rFonts w:ascii="Times New Roman" w:hAnsi="Times New Roman" w:cs="Times New Roman"/>
        </w:rPr>
      </w:pPr>
      <w:r w:rsidRPr="004423E0">
        <w:rPr>
          <w:rStyle w:val="FootnoteReference"/>
          <w:rFonts w:ascii="Times New Roman" w:hAnsi="Times New Roman" w:cs="Times New Roman"/>
        </w:rPr>
        <w:footnoteRef/>
      </w:r>
      <w:r w:rsidRPr="004423E0">
        <w:rPr>
          <w:rFonts w:ascii="Times New Roman" w:hAnsi="Times New Roman" w:cs="Times New Roman"/>
        </w:rPr>
        <w:t xml:space="preserve"> Berger, D., </w:t>
      </w:r>
      <w:r w:rsidRPr="004423E0">
        <w:rPr>
          <w:rFonts w:ascii="Times New Roman" w:hAnsi="Times New Roman" w:cs="Times New Roman"/>
          <w:i/>
        </w:rPr>
        <w:t>Veto SB 360, Gov. DeSantis. It Makes Residents in Older Condo Buildings Less Safe</w:t>
      </w:r>
      <w:r w:rsidRPr="004423E0">
        <w:rPr>
          <w:rFonts w:ascii="Times New Roman" w:hAnsi="Times New Roman" w:cs="Times New Roman"/>
        </w:rPr>
        <w:t>, Miami-Herald (Apr. 11, 2023) (</w:t>
      </w:r>
      <w:hyperlink w:history="1" r:id="rId6">
        <w:r w:rsidRPr="004423E0">
          <w:rPr>
            <w:rStyle w:val="Hyperlink"/>
            <w:rFonts w:ascii="Times New Roman" w:hAnsi="Times New Roman" w:cs="Times New Roman"/>
          </w:rPr>
          <w:t>https://beckerlawyers.com/wp-content/uploads/2023/04/Legislation-would-give-high-rise-residents-less-power-_-Miami-Herald.pdf</w:t>
        </w:r>
      </w:hyperlink>
      <w:r w:rsidRPr="004423E0">
        <w:rPr>
          <w:rFonts w:ascii="Times New Roman" w:hAnsi="Times New Roman" w:cs="Times New Roman"/>
        </w:rPr>
        <w:t xml:space="preserve">) (last accessed: </w:t>
      </w:r>
      <w:r w:rsidR="00A8416A">
        <w:rPr>
          <w:rFonts w:ascii="Times New Roman" w:hAnsi="Times New Roman" w:cs="Times New Roman"/>
        </w:rPr>
        <w:t xml:space="preserve">April </w:t>
      </w:r>
      <w:r w:rsidRPr="004423E0">
        <w:rPr>
          <w:rFonts w:ascii="Times New Roman" w:hAnsi="Times New Roman" w:cs="Times New Roman"/>
        </w:rPr>
        <w:t>1, 2024).</w:t>
      </w:r>
    </w:p>
  </w:footnote>
  <w:footnote w:id="23">
    <w:p w:rsidRPr="00F044DF" w:rsidR="00F044DF" w:rsidP="000A003F" w:rsidRDefault="00F044DF" w14:paraId="2948A636" w14:textId="77777777">
      <w:pPr>
        <w:pStyle w:val="FootnoteText"/>
        <w:spacing w:before="120"/>
        <w:rPr>
          <w:rFonts w:ascii="Times New Roman" w:hAnsi="Times New Roman" w:cs="Times New Roman"/>
        </w:rPr>
      </w:pPr>
      <w:r w:rsidRPr="00F044DF">
        <w:rPr>
          <w:rStyle w:val="FootnoteReference"/>
          <w:rFonts w:ascii="Times New Roman" w:hAnsi="Times New Roman" w:cs="Times New Roman"/>
        </w:rPr>
        <w:footnoteRef/>
      </w:r>
      <w:r w:rsidRPr="00F044DF">
        <w:rPr>
          <w:rFonts w:ascii="Times New Roman" w:hAnsi="Times New Roman" w:cs="Times New Roman"/>
        </w:rPr>
        <w:t xml:space="preserve"> </w:t>
      </w:r>
      <w:r w:rsidRPr="00F044DF">
        <w:rPr>
          <w:rFonts w:ascii="Times New Roman" w:hAnsi="Times New Roman" w:cs="Times New Roman"/>
          <w:i/>
        </w:rPr>
        <w:t xml:space="preserve">Fla. Stat. </w:t>
      </w:r>
      <w:r w:rsidRPr="00F044DF">
        <w:rPr>
          <w:rFonts w:ascii="Times New Roman" w:hAnsi="Times New Roman" w:cs="Times New Roman"/>
        </w:rPr>
        <w:t xml:space="preserve">§ 718.111(3) (2023); </w:t>
      </w:r>
      <w:r w:rsidRPr="007A481B">
        <w:rPr>
          <w:rFonts w:ascii="Times New Roman" w:hAnsi="Times New Roman" w:cs="Times New Roman"/>
          <w:i/>
        </w:rPr>
        <w:t>Fla. Stat.</w:t>
      </w:r>
      <w:r w:rsidRPr="00F044DF">
        <w:rPr>
          <w:rFonts w:ascii="Times New Roman" w:hAnsi="Times New Roman" w:cs="Times New Roman"/>
        </w:rPr>
        <w:t xml:space="preserve"> § 718.124</w:t>
      </w:r>
      <w:r w:rsidR="007A481B">
        <w:rPr>
          <w:rFonts w:ascii="Times New Roman" w:hAnsi="Times New Roman" w:cs="Times New Roman"/>
        </w:rPr>
        <w:t xml:space="preserve"> (2023)</w:t>
      </w:r>
      <w:proofErr w:type="gramStart"/>
      <w:r w:rsidRPr="00F044DF">
        <w:rPr>
          <w:rFonts w:ascii="Times New Roman" w:hAnsi="Times New Roman" w:cs="Times New Roman"/>
        </w:rPr>
        <w:t>;</w:t>
      </w:r>
      <w:proofErr w:type="gramEnd"/>
      <w:r w:rsidRPr="00F044DF">
        <w:rPr>
          <w:rFonts w:ascii="Times New Roman" w:hAnsi="Times New Roman" w:cs="Times New Roman"/>
        </w:rPr>
        <w:t xml:space="preserve"> </w:t>
      </w:r>
      <w:proofErr w:type="spellStart"/>
      <w:r w:rsidRPr="00F044DF">
        <w:rPr>
          <w:rFonts w:ascii="Times New Roman" w:hAnsi="Times New Roman" w:cs="Times New Roman"/>
          <w:i/>
        </w:rPr>
        <w:t>Sabal</w:t>
      </w:r>
      <w:proofErr w:type="spellEnd"/>
      <w:r w:rsidRPr="00F044DF">
        <w:rPr>
          <w:rFonts w:ascii="Times New Roman" w:hAnsi="Times New Roman" w:cs="Times New Roman"/>
          <w:i/>
        </w:rPr>
        <w:t xml:space="preserve"> Chase Homeowners </w:t>
      </w:r>
      <w:proofErr w:type="spellStart"/>
      <w:r w:rsidRPr="00F044DF">
        <w:rPr>
          <w:rFonts w:ascii="Times New Roman" w:hAnsi="Times New Roman" w:cs="Times New Roman"/>
          <w:i/>
        </w:rPr>
        <w:t>Ass'n</w:t>
      </w:r>
      <w:proofErr w:type="spellEnd"/>
      <w:r w:rsidRPr="00F044DF">
        <w:rPr>
          <w:rFonts w:ascii="Times New Roman" w:hAnsi="Times New Roman" w:cs="Times New Roman"/>
          <w:i/>
        </w:rPr>
        <w:t>, Inc. v. Walt Disney World Co.</w:t>
      </w:r>
      <w:r w:rsidRPr="00F044DF">
        <w:rPr>
          <w:rFonts w:ascii="Times New Roman" w:hAnsi="Times New Roman" w:cs="Times New Roman"/>
        </w:rPr>
        <w:t>, 726 So. 2d 796, 799 (Fla. 3d DCA 1999).</w:t>
      </w:r>
    </w:p>
  </w:footnote>
  <w:footnote w:id="24">
    <w:p w:rsidRPr="007A481B" w:rsidR="007A5440" w:rsidP="000A003F" w:rsidRDefault="007A5440" w14:paraId="631D33D7" w14:textId="77777777">
      <w:pPr>
        <w:pStyle w:val="FootnoteText"/>
        <w:spacing w:before="120"/>
        <w:rPr>
          <w:rFonts w:ascii="Times New Roman" w:hAnsi="Times New Roman" w:cs="Times New Roman"/>
        </w:rPr>
      </w:pPr>
      <w:r w:rsidRPr="007A481B">
        <w:rPr>
          <w:rStyle w:val="FootnoteReference"/>
          <w:rFonts w:ascii="Times New Roman" w:hAnsi="Times New Roman" w:cs="Times New Roman"/>
        </w:rPr>
        <w:footnoteRef/>
      </w:r>
      <w:r w:rsidRPr="007A481B">
        <w:rPr>
          <w:rFonts w:ascii="Times New Roman" w:hAnsi="Times New Roman" w:cs="Times New Roman"/>
        </w:rPr>
        <w:t xml:space="preserve"> The abbreviation “SOR” in the graphic stands for “Statute of Repose.”</w:t>
      </w:r>
      <w:r w:rsidRPr="007A481B" w:rsidR="000367D8">
        <w:rPr>
          <w:rFonts w:ascii="Times New Roman" w:hAnsi="Times New Roman" w:cs="Times New Roman"/>
        </w:rPr>
        <w:t xml:space="preserve">  In the scenario above, the developer has discovered the latent defect well prior to turnover.  While this might expose the developer to claims of fraud or breach of contract, it would likely exonerate members of the construction team from liability on a construction defect theory.  Further, if the Association were to discover defects shortly after turnover, as is often the case upon receipt of the statutorily mandated turnover report pursuant to Fla. Stat. § 718.301(4)(p) (2023), their claims would be eliminated pursuant to Fla. Stat. § 95.11(3)(</w:t>
      </w:r>
      <w:r w:rsidR="006C3ED0">
        <w:rPr>
          <w:rFonts w:ascii="Times New Roman" w:hAnsi="Times New Roman" w:cs="Times New Roman"/>
        </w:rPr>
        <w:t>b</w:t>
      </w:r>
      <w:r w:rsidRPr="007A481B" w:rsidR="000367D8">
        <w:rPr>
          <w:rFonts w:ascii="Times New Roman" w:hAnsi="Times New Roman" w:cs="Times New Roman"/>
        </w:rPr>
        <w:t>).</w:t>
      </w:r>
    </w:p>
  </w:footnote>
  <w:footnote w:id="25">
    <w:p w:rsidR="00002163" w:rsidP="000A003F" w:rsidRDefault="007A481B" w14:paraId="7A72478C" w14:textId="5615E2E5">
      <w:pPr>
        <w:pStyle w:val="FootnoteText"/>
        <w:spacing w:before="120"/>
        <w:rPr>
          <w:rFonts w:ascii="Times New Roman" w:hAnsi="Times New Roman" w:cs="Times New Roman"/>
        </w:rPr>
      </w:pPr>
      <w:r w:rsidRPr="006C3ED0">
        <w:rPr>
          <w:rStyle w:val="FootnoteReference"/>
          <w:rFonts w:ascii="Times New Roman" w:hAnsi="Times New Roman" w:cs="Times New Roman"/>
        </w:rPr>
        <w:footnoteRef/>
      </w:r>
      <w:r w:rsidRPr="006C3ED0">
        <w:rPr>
          <w:rFonts w:ascii="Times New Roman" w:hAnsi="Times New Roman" w:cs="Times New Roman"/>
        </w:rPr>
        <w:t xml:space="preserve"> </w:t>
      </w:r>
      <w:r w:rsidRPr="006C3ED0">
        <w:rPr>
          <w:rFonts w:ascii="Times New Roman" w:hAnsi="Times New Roman" w:cs="Times New Roman"/>
          <w:i/>
        </w:rPr>
        <w:t>See Lobbyist Disclosure &amp; Information</w:t>
      </w:r>
      <w:r w:rsidRPr="006C3ED0">
        <w:rPr>
          <w:rFonts w:ascii="Times New Roman" w:hAnsi="Times New Roman" w:cs="Times New Roman"/>
        </w:rPr>
        <w:t xml:space="preserve"> for </w:t>
      </w:r>
      <w:hyperlink w:history="1" w:anchor="search" r:id="rId7">
        <w:r w:rsidRPr="006C3ED0">
          <w:rPr>
            <w:rStyle w:val="Hyperlink"/>
            <w:rFonts w:ascii="Times New Roman" w:hAnsi="Times New Roman" w:cs="Times New Roman"/>
          </w:rPr>
          <w:t>HB 85</w:t>
        </w:r>
      </w:hyperlink>
      <w:r w:rsidRPr="006C3ED0">
        <w:rPr>
          <w:rFonts w:ascii="Times New Roman" w:hAnsi="Times New Roman" w:cs="Times New Roman"/>
        </w:rPr>
        <w:t xml:space="preserve"> and </w:t>
      </w:r>
      <w:hyperlink w:history="1" w:anchor="search" r:id="rId8">
        <w:r w:rsidRPr="006C3ED0">
          <w:rPr>
            <w:rStyle w:val="Hyperlink"/>
            <w:rFonts w:ascii="Times New Roman" w:hAnsi="Times New Roman" w:cs="Times New Roman"/>
          </w:rPr>
          <w:t>SB 360</w:t>
        </w:r>
      </w:hyperlink>
      <w:r w:rsidRPr="006C3ED0">
        <w:rPr>
          <w:rFonts w:ascii="Times New Roman" w:hAnsi="Times New Roman" w:cs="Times New Roman"/>
        </w:rPr>
        <w:t xml:space="preserve"> (2023).</w:t>
      </w:r>
    </w:p>
    <w:p w:rsidRPr="006C3ED0" w:rsidR="00002163" w:rsidP="00002163" w:rsidRDefault="00002163" w14:paraId="20AE4508" w14:textId="77777777">
      <w:pPr>
        <w:pStyle w:val="FootnoteText"/>
        <w:rPr>
          <w:rFonts w:ascii="Times New Roman" w:hAnsi="Times New Roman" w:cs="Times New Roman"/>
        </w:rPr>
      </w:pPr>
    </w:p>
  </w:footnote>
  <w:footnote w:id="26">
    <w:p w:rsidRPr="00002163" w:rsidR="00002163" w:rsidRDefault="00002163" w14:paraId="627C4A11" w14:textId="1DDB7F39">
      <w:pPr>
        <w:pStyle w:val="FootnoteText"/>
        <w:rPr>
          <w:rFonts w:ascii="Times New Roman" w:hAnsi="Times New Roman" w:cs="Times New Roman"/>
        </w:rPr>
      </w:pPr>
      <w:r w:rsidRPr="00002163">
        <w:rPr>
          <w:rStyle w:val="FootnoteReference"/>
          <w:rFonts w:ascii="Times New Roman" w:hAnsi="Times New Roman" w:cs="Times New Roman"/>
        </w:rPr>
        <w:footnoteRef/>
      </w:r>
      <w:r w:rsidRPr="00002163">
        <w:rPr>
          <w:rFonts w:ascii="Times New Roman" w:hAnsi="Times New Roman" w:cs="Times New Roman"/>
        </w:rPr>
        <w:t xml:space="preserve"> </w:t>
      </w:r>
      <w:r w:rsidR="00ED67D5">
        <w:rPr>
          <w:rFonts w:ascii="Times New Roman" w:hAnsi="Times New Roman" w:cs="Times New Roman"/>
        </w:rPr>
        <w:t>O</w:t>
      </w:r>
      <w:r>
        <w:rPr>
          <w:rFonts w:ascii="Times New Roman" w:hAnsi="Times New Roman" w:cs="Times New Roman"/>
        </w:rPr>
        <w:t xml:space="preserve">utside of </w:t>
      </w:r>
      <w:proofErr w:type="gramStart"/>
      <w:r>
        <w:rPr>
          <w:rFonts w:ascii="Times New Roman" w:hAnsi="Times New Roman" w:cs="Times New Roman"/>
        </w:rPr>
        <w:t>Florida</w:t>
      </w:r>
      <w:proofErr w:type="gramEnd"/>
      <w:r w:rsidR="00ED67D5">
        <w:rPr>
          <w:rFonts w:ascii="Times New Roman" w:hAnsi="Times New Roman" w:cs="Times New Roman"/>
        </w:rPr>
        <w:t xml:space="preserve"> “[a] common trigger is the date of </w:t>
      </w:r>
      <w:r w:rsidR="00ED67D5">
        <w:rPr>
          <w:rFonts w:ascii="Times New Roman" w:hAnsi="Times New Roman" w:cs="Times New Roman"/>
          <w:i/>
        </w:rPr>
        <w:t>substantial completion</w:t>
      </w:r>
      <w:r w:rsidR="00ED67D5">
        <w:rPr>
          <w:rFonts w:ascii="Times New Roman" w:hAnsi="Times New Roman" w:cs="Times New Roman"/>
        </w:rPr>
        <w:t xml:space="preserve">.  Some statutory schemes eliminate the adjective </w:t>
      </w:r>
      <w:r w:rsidR="00ED67D5">
        <w:rPr>
          <w:rFonts w:ascii="Times New Roman" w:hAnsi="Times New Roman" w:cs="Times New Roman"/>
          <w:i/>
        </w:rPr>
        <w:t>substantial</w:t>
      </w:r>
      <w:r w:rsidR="00ED67D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See</w:t>
      </w:r>
      <w:r>
        <w:rPr>
          <w:rFonts w:ascii="Times New Roman" w:hAnsi="Times New Roman" w:cs="Times New Roman"/>
        </w:rPr>
        <w:t xml:space="preserve"> Bruner &amp; O’Connor on Construction Law, </w:t>
      </w:r>
      <w:r w:rsidRPr="00002163">
        <w:rPr>
          <w:rFonts w:ascii="Times New Roman" w:hAnsi="Times New Roman" w:cs="Times New Roman"/>
          <w:i/>
        </w:rPr>
        <w:t xml:space="preserve">§ 7.29, </w:t>
      </w:r>
      <w:r>
        <w:rPr>
          <w:rFonts w:ascii="Times New Roman" w:hAnsi="Times New Roman" w:cs="Times New Roman"/>
          <w:i/>
        </w:rPr>
        <w:t>When do builder statutes of repose begin to run</w:t>
      </w:r>
      <w:proofErr w:type="gramStart"/>
      <w:r>
        <w:rPr>
          <w:rFonts w:ascii="Times New Roman" w:hAnsi="Times New Roman" w:cs="Times New Roman"/>
          <w:i/>
        </w:rPr>
        <w:t>?</w:t>
      </w:r>
      <w:r>
        <w:rPr>
          <w:rFonts w:ascii="Times New Roman" w:hAnsi="Times New Roman" w:cs="Times New Roman"/>
        </w:rPr>
        <w:t>,</w:t>
      </w:r>
      <w:proofErr w:type="gramEnd"/>
      <w:r>
        <w:rPr>
          <w:rFonts w:ascii="Times New Roman" w:hAnsi="Times New Roman" w:cs="Times New Roman"/>
        </w:rPr>
        <w:t xml:space="preserve"> FN 7-8 (2023) (</w:t>
      </w:r>
      <w:r w:rsidR="00ED67D5">
        <w:rPr>
          <w:rFonts w:ascii="Times New Roman" w:hAnsi="Times New Roman" w:cs="Times New Roman"/>
          <w:i/>
        </w:rPr>
        <w:t>e</w:t>
      </w:r>
      <w:r>
        <w:rPr>
          <w:rFonts w:ascii="Times New Roman" w:hAnsi="Times New Roman" w:cs="Times New Roman"/>
          <w:i/>
        </w:rPr>
        <w:t>mphasis added</w:t>
      </w:r>
      <w:r>
        <w:rPr>
          <w:rFonts w:ascii="Times New Roman" w:hAnsi="Times New Roman" w:cs="Times New Roman"/>
        </w:rPr>
        <w:t>).  The CLC r</w:t>
      </w:r>
      <w:r w:rsidR="00ED67D5">
        <w:rPr>
          <w:rFonts w:ascii="Times New Roman" w:hAnsi="Times New Roman" w:cs="Times New Roman"/>
        </w:rPr>
        <w:t>ecommends against using the adjective “substantial,” because of</w:t>
      </w:r>
      <w:r w:rsidR="00324649">
        <w:rPr>
          <w:rFonts w:ascii="Times New Roman" w:hAnsi="Times New Roman" w:cs="Times New Roman"/>
        </w:rPr>
        <w:t xml:space="preserve"> the industry-recognized meaning of this phrase is less precise than the triggers proposed in the bill revision</w:t>
      </w:r>
      <w:r w:rsidR="00ED67D5">
        <w:rPr>
          <w:rFonts w:ascii="Times New Roman" w:hAnsi="Times New Roman" w:cs="Times New Roman"/>
        </w:rPr>
        <w:t xml:space="preserve">.  </w:t>
      </w:r>
      <w:r w:rsidR="00ED67D5">
        <w:rPr>
          <w:rFonts w:ascii="Times New Roman" w:hAnsi="Times New Roman" w:cs="Times New Roman"/>
          <w:i/>
        </w:rPr>
        <w:t>See AIA-2017 A201 General Conditions of the Contractor for Construction</w:t>
      </w:r>
      <w:r w:rsidR="00ED67D5">
        <w:rPr>
          <w:rFonts w:ascii="Times New Roman" w:hAnsi="Times New Roman" w:cs="Times New Roman"/>
        </w:rPr>
        <w:t xml:space="preserve">, </w:t>
      </w:r>
      <w:r w:rsidRPr="00F044DF" w:rsidR="00ED67D5">
        <w:rPr>
          <w:rFonts w:ascii="Times New Roman" w:hAnsi="Times New Roman" w:cs="Times New Roman"/>
        </w:rPr>
        <w:t>§</w:t>
      </w:r>
      <w:r w:rsidR="00ED67D5">
        <w:rPr>
          <w:rFonts w:ascii="Times New Roman" w:hAnsi="Times New Roman" w:cs="Times New Roman"/>
        </w:rPr>
        <w:t xml:space="preserve"> 9.8.1 (defining s</w:t>
      </w:r>
      <w:r w:rsidRPr="00ED67D5" w:rsidR="00ED67D5">
        <w:rPr>
          <w:rFonts w:ascii="Times New Roman" w:hAnsi="Times New Roman" w:cs="Times New Roman"/>
        </w:rPr>
        <w:t xml:space="preserve">ubstantial </w:t>
      </w:r>
      <w:r w:rsidR="00ED67D5">
        <w:rPr>
          <w:rFonts w:ascii="Times New Roman" w:hAnsi="Times New Roman" w:cs="Times New Roman"/>
        </w:rPr>
        <w:t>completion a</w:t>
      </w:r>
      <w:r w:rsidRPr="00ED67D5" w:rsidR="00ED67D5">
        <w:rPr>
          <w:rFonts w:ascii="Times New Roman" w:hAnsi="Times New Roman" w:cs="Times New Roman"/>
        </w:rPr>
        <w:t xml:space="preserve">s </w:t>
      </w:r>
      <w:r w:rsidR="00ED67D5">
        <w:rPr>
          <w:rFonts w:ascii="Times New Roman" w:hAnsi="Times New Roman" w:cs="Times New Roman"/>
        </w:rPr>
        <w:t>“</w:t>
      </w:r>
      <w:r w:rsidRPr="00ED67D5" w:rsidR="00ED67D5">
        <w:rPr>
          <w:rFonts w:ascii="Times New Roman" w:hAnsi="Times New Roman" w:cs="Times New Roman"/>
        </w:rPr>
        <w:t>the stage in the progress of the Work when the Work or designated portion thereof is sufficiently complete in accordance with the Contract Documents so that the Owner can occupy or utiliz</w:t>
      </w:r>
      <w:r w:rsidR="00ED67D5">
        <w:rPr>
          <w:rFonts w:ascii="Times New Roman" w:hAnsi="Times New Roman" w:cs="Times New Roman"/>
        </w:rPr>
        <w:t>e the Work for its intended use.”)</w:t>
      </w:r>
    </w:p>
  </w:footnote>
  <w:footnote w:id="27">
    <w:p w:rsidRPr="002F7C29" w:rsidR="002F7C29" w:rsidRDefault="002F7C29" w14:paraId="14DADE81" w14:textId="50B1680A">
      <w:pPr>
        <w:pStyle w:val="FootnoteText"/>
        <w:rPr>
          <w:rFonts w:ascii="Times New Roman" w:hAnsi="Times New Roman" w:cs="Times New Roman"/>
        </w:rPr>
      </w:pPr>
      <w:r w:rsidRPr="002F7C29">
        <w:rPr>
          <w:rStyle w:val="FootnoteReference"/>
          <w:rFonts w:ascii="Times New Roman" w:hAnsi="Times New Roman" w:cs="Times New Roman"/>
        </w:rPr>
        <w:footnoteRef/>
      </w:r>
      <w:r w:rsidRPr="002F7C29">
        <w:rPr>
          <w:rFonts w:ascii="Times New Roman" w:hAnsi="Times New Roman" w:cs="Times New Roman"/>
        </w:rPr>
        <w:t xml:space="preserve"> </w:t>
      </w:r>
      <w:r w:rsidRPr="002F7C29">
        <w:rPr>
          <w:rFonts w:ascii="Times New Roman" w:hAnsi="Times New Roman" w:cs="Times New Roman"/>
          <w:i/>
        </w:rPr>
        <w:t>See</w:t>
      </w:r>
      <w:r w:rsidRPr="002F7C29">
        <w:rPr>
          <w:rFonts w:ascii="Times New Roman" w:hAnsi="Times New Roman" w:cs="Times New Roman"/>
        </w:rPr>
        <w:t xml:space="preserve"> </w:t>
      </w:r>
      <w:r w:rsidRPr="002F7C29">
        <w:rPr>
          <w:rFonts w:ascii="Times New Roman" w:hAnsi="Times New Roman" w:cs="Times New Roman"/>
          <w:i/>
        </w:rPr>
        <w:t>generally</w:t>
      </w:r>
      <w:r w:rsidRPr="002F7C29">
        <w:rPr>
          <w:rFonts w:ascii="Times New Roman" w:hAnsi="Times New Roman" w:cs="Times New Roman"/>
        </w:rPr>
        <w:t>, Ch. 471, Fla. Stat.</w:t>
      </w:r>
      <w:r>
        <w:rPr>
          <w:rFonts w:ascii="Times New Roman" w:hAnsi="Times New Roman" w:cs="Times New Roman"/>
        </w:rPr>
        <w:t xml:space="preserve"> (2023)</w:t>
      </w:r>
      <w:r w:rsidRPr="002F7C29">
        <w:rPr>
          <w:rFonts w:ascii="Times New Roman" w:hAnsi="Times New Roman" w:cs="Times New Roman"/>
        </w:rPr>
        <w:t>; Ch. 472, Fla. Stat.</w:t>
      </w:r>
      <w:r>
        <w:rPr>
          <w:rFonts w:ascii="Times New Roman" w:hAnsi="Times New Roman" w:cs="Times New Roman"/>
        </w:rPr>
        <w:t xml:space="preserve"> (2023)</w:t>
      </w:r>
      <w:r w:rsidRPr="002F7C29">
        <w:rPr>
          <w:rFonts w:ascii="Times New Roman" w:hAnsi="Times New Roman" w:cs="Times New Roman"/>
        </w:rPr>
        <w:t>; Ch. 481, Fla. Stat.</w:t>
      </w:r>
      <w:r>
        <w:rPr>
          <w:rFonts w:ascii="Times New Roman" w:hAnsi="Times New Roman" w:cs="Times New Roman"/>
        </w:rPr>
        <w:t xml:space="preserve"> (2023)</w:t>
      </w:r>
      <w:r w:rsidRPr="002F7C29">
        <w:rPr>
          <w:rFonts w:ascii="Times New Roman" w:hAnsi="Times New Roman" w:cs="Times New Roman"/>
        </w:rPr>
        <w:t xml:space="preserve">; </w:t>
      </w:r>
      <w:r w:rsidRPr="002F7C29">
        <w:rPr>
          <w:rFonts w:ascii="Times New Roman" w:hAnsi="Times New Roman" w:cs="Times New Roman"/>
          <w:i/>
        </w:rPr>
        <w:t xml:space="preserve">Fla. Stat. </w:t>
      </w:r>
      <w:r w:rsidRPr="002F7C29">
        <w:rPr>
          <w:rFonts w:ascii="Times New Roman" w:hAnsi="Times New Roman" w:cs="Times New Roman"/>
        </w:rPr>
        <w:t>§713.03(2023) (identifying an “architect, landscape architect, interior designer, engineer, or surveyor and mapper” as persons entitled to lien for professional services)</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7B" w:rsidRDefault="0061557B" w14:paraId="103CC0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7B" w:rsidRDefault="0061557B" w14:paraId="6560497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7B" w:rsidRDefault="0061557B" w14:paraId="292EC8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3467"/>
    <w:multiLevelType w:val="hybridMultilevel"/>
    <w:tmpl w:val="C7C2DACA"/>
    <w:lvl w:ilvl="0" w:tplc="7486BB74">
      <w:start w:val="1"/>
      <w:numFmt w:val="upperRoman"/>
      <w:lvlText w:val="%1."/>
      <w:lvlJc w:val="left"/>
      <w:pPr>
        <w:ind w:left="1080" w:hanging="720"/>
      </w:pPr>
      <w:rPr>
        <w:rFonts w:hint="default"/>
      </w:rPr>
    </w:lvl>
    <w:lvl w:ilvl="1" w:tplc="1BBC493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30C16"/>
    <w:multiLevelType w:val="hybridMultilevel"/>
    <w:tmpl w:val="C38085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8EC6377"/>
    <w:multiLevelType w:val="hybridMultilevel"/>
    <w:tmpl w:val="49AA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56FBD"/>
    <w:multiLevelType w:val="hybridMultilevel"/>
    <w:tmpl w:val="DEB8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5468C"/>
    <w:multiLevelType w:val="hybridMultilevel"/>
    <w:tmpl w:val="EB9C41EE"/>
    <w:lvl w:ilvl="0" w:tplc="30244A0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D9546C"/>
    <w:multiLevelType w:val="hybridMultilevel"/>
    <w:tmpl w:val="F8AA3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B1E56"/>
    <w:multiLevelType w:val="hybridMultilevel"/>
    <w:tmpl w:val="CCA8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lang="en-US" w:vendorID="64" w:dllVersion="131078" w:nlCheck="1" w:checkStyle="0" w:appName="MSWor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0D"/>
    <w:rsid w:val="00002163"/>
    <w:rsid w:val="00023217"/>
    <w:rsid w:val="000367D8"/>
    <w:rsid w:val="00042693"/>
    <w:rsid w:val="00061D22"/>
    <w:rsid w:val="00067DC4"/>
    <w:rsid w:val="000750C2"/>
    <w:rsid w:val="00075106"/>
    <w:rsid w:val="00075BF4"/>
    <w:rsid w:val="000A003F"/>
    <w:rsid w:val="000B3F17"/>
    <w:rsid w:val="000E1C2B"/>
    <w:rsid w:val="00101D7F"/>
    <w:rsid w:val="001040BC"/>
    <w:rsid w:val="00142B5A"/>
    <w:rsid w:val="00145748"/>
    <w:rsid w:val="00166FD8"/>
    <w:rsid w:val="00167205"/>
    <w:rsid w:val="00172333"/>
    <w:rsid w:val="001B01B5"/>
    <w:rsid w:val="001E201F"/>
    <w:rsid w:val="0025146E"/>
    <w:rsid w:val="002526B8"/>
    <w:rsid w:val="002A02F9"/>
    <w:rsid w:val="002D74F5"/>
    <w:rsid w:val="002E2614"/>
    <w:rsid w:val="002E7B96"/>
    <w:rsid w:val="002F315B"/>
    <w:rsid w:val="002F7C29"/>
    <w:rsid w:val="00324649"/>
    <w:rsid w:val="003348DE"/>
    <w:rsid w:val="00362530"/>
    <w:rsid w:val="003749AD"/>
    <w:rsid w:val="00384D5C"/>
    <w:rsid w:val="00393446"/>
    <w:rsid w:val="003D410B"/>
    <w:rsid w:val="0040009F"/>
    <w:rsid w:val="004423E0"/>
    <w:rsid w:val="0044696F"/>
    <w:rsid w:val="00472717"/>
    <w:rsid w:val="004A1512"/>
    <w:rsid w:val="00502584"/>
    <w:rsid w:val="00523D82"/>
    <w:rsid w:val="005601E5"/>
    <w:rsid w:val="00597743"/>
    <w:rsid w:val="005D0674"/>
    <w:rsid w:val="005D67FE"/>
    <w:rsid w:val="0060199E"/>
    <w:rsid w:val="006036A0"/>
    <w:rsid w:val="00605F17"/>
    <w:rsid w:val="0061557B"/>
    <w:rsid w:val="0066686E"/>
    <w:rsid w:val="00695BFF"/>
    <w:rsid w:val="006C3ED0"/>
    <w:rsid w:val="006D5E3D"/>
    <w:rsid w:val="006D7988"/>
    <w:rsid w:val="00752AB8"/>
    <w:rsid w:val="0077100E"/>
    <w:rsid w:val="007727E2"/>
    <w:rsid w:val="007A481B"/>
    <w:rsid w:val="007A5440"/>
    <w:rsid w:val="007B120C"/>
    <w:rsid w:val="0080178A"/>
    <w:rsid w:val="008112BA"/>
    <w:rsid w:val="00840A0D"/>
    <w:rsid w:val="00847CCC"/>
    <w:rsid w:val="008664EC"/>
    <w:rsid w:val="008B4012"/>
    <w:rsid w:val="008C500B"/>
    <w:rsid w:val="008F1D56"/>
    <w:rsid w:val="00901CC8"/>
    <w:rsid w:val="00960048"/>
    <w:rsid w:val="009F0BA3"/>
    <w:rsid w:val="00A50760"/>
    <w:rsid w:val="00A5185A"/>
    <w:rsid w:val="00A75B4B"/>
    <w:rsid w:val="00A8416A"/>
    <w:rsid w:val="00AB2F21"/>
    <w:rsid w:val="00AC12F9"/>
    <w:rsid w:val="00AE7BC0"/>
    <w:rsid w:val="00B2378D"/>
    <w:rsid w:val="00B31BF9"/>
    <w:rsid w:val="00B33A77"/>
    <w:rsid w:val="00B41A30"/>
    <w:rsid w:val="00B834BF"/>
    <w:rsid w:val="00BB29F0"/>
    <w:rsid w:val="00C049F3"/>
    <w:rsid w:val="00C470CA"/>
    <w:rsid w:val="00C52233"/>
    <w:rsid w:val="00C527DA"/>
    <w:rsid w:val="00C666AC"/>
    <w:rsid w:val="00C70A24"/>
    <w:rsid w:val="00CE4264"/>
    <w:rsid w:val="00D12DAF"/>
    <w:rsid w:val="00D4514F"/>
    <w:rsid w:val="00D57EE8"/>
    <w:rsid w:val="00D60F1A"/>
    <w:rsid w:val="00D821CC"/>
    <w:rsid w:val="00DD4D26"/>
    <w:rsid w:val="00DE7405"/>
    <w:rsid w:val="00E74E88"/>
    <w:rsid w:val="00EB4184"/>
    <w:rsid w:val="00ED67D5"/>
    <w:rsid w:val="00EF6466"/>
    <w:rsid w:val="00F044DF"/>
    <w:rsid w:val="00F16250"/>
    <w:rsid w:val="00F6673B"/>
    <w:rsid w:val="00F9402B"/>
    <w:rsid w:val="00F9529B"/>
    <w:rsid w:val="00FD12A5"/>
    <w:rsid w:val="00FE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089C3"/>
  <w15:chartTrackingRefBased/>
  <w15:docId w15:val="{77D402E8-7C04-44A3-AA0E-D9582B7D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237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378D"/>
  </w:style>
  <w:style w:type="paragraph" w:styleId="Footer">
    <w:name w:val="footer"/>
    <w:basedOn w:val="Normal"/>
    <w:link w:val="FooterChar"/>
    <w:uiPriority w:val="99"/>
    <w:unhideWhenUsed/>
    <w:rsid w:val="00B237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378D"/>
  </w:style>
  <w:style w:type="paragraph" w:styleId="ListParagraph">
    <w:name w:val="List Paragraph"/>
    <w:basedOn w:val="Normal"/>
    <w:uiPriority w:val="34"/>
    <w:qFormat/>
    <w:rsid w:val="00B2378D"/>
    <w:pPr>
      <w:ind w:left="720"/>
      <w:contextualSpacing/>
    </w:pPr>
  </w:style>
  <w:style w:type="paragraph" w:styleId="FootnoteText">
    <w:name w:val="footnote text"/>
    <w:basedOn w:val="Normal"/>
    <w:link w:val="FootnoteTextChar"/>
    <w:uiPriority w:val="99"/>
    <w:semiHidden/>
    <w:unhideWhenUsed/>
    <w:rsid w:val="005601E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601E5"/>
    <w:rPr>
      <w:sz w:val="20"/>
      <w:szCs w:val="20"/>
    </w:rPr>
  </w:style>
  <w:style w:type="character" w:styleId="FootnoteReference">
    <w:name w:val="footnote reference"/>
    <w:basedOn w:val="DefaultParagraphFont"/>
    <w:uiPriority w:val="99"/>
    <w:semiHidden/>
    <w:unhideWhenUsed/>
    <w:rsid w:val="005601E5"/>
    <w:rPr>
      <w:vertAlign w:val="superscript"/>
    </w:rPr>
  </w:style>
  <w:style w:type="character" w:styleId="Hyperlink">
    <w:name w:val="Hyperlink"/>
    <w:basedOn w:val="DefaultParagraphFont"/>
    <w:uiPriority w:val="99"/>
    <w:unhideWhenUsed/>
    <w:rsid w:val="005601E5"/>
    <w:rPr>
      <w:color w:val="0563C1" w:themeColor="hyperlink"/>
      <w:u w:val="single"/>
    </w:rPr>
  </w:style>
  <w:style w:type="character" w:styleId="CommentReference">
    <w:name w:val="annotation reference"/>
    <w:basedOn w:val="DefaultParagraphFont"/>
    <w:uiPriority w:val="99"/>
    <w:semiHidden/>
    <w:unhideWhenUsed/>
    <w:rsid w:val="00BB29F0"/>
    <w:rPr>
      <w:sz w:val="16"/>
      <w:szCs w:val="16"/>
    </w:rPr>
  </w:style>
  <w:style w:type="paragraph" w:styleId="CommentText">
    <w:name w:val="annotation text"/>
    <w:basedOn w:val="Normal"/>
    <w:link w:val="CommentTextChar"/>
    <w:uiPriority w:val="99"/>
    <w:semiHidden/>
    <w:unhideWhenUsed/>
    <w:rsid w:val="00BB29F0"/>
    <w:pPr>
      <w:spacing w:line="240" w:lineRule="auto"/>
    </w:pPr>
    <w:rPr>
      <w:sz w:val="20"/>
      <w:szCs w:val="20"/>
    </w:rPr>
  </w:style>
  <w:style w:type="character" w:styleId="CommentTextChar" w:customStyle="1">
    <w:name w:val="Comment Text Char"/>
    <w:basedOn w:val="DefaultParagraphFont"/>
    <w:link w:val="CommentText"/>
    <w:uiPriority w:val="99"/>
    <w:semiHidden/>
    <w:rsid w:val="00BB29F0"/>
    <w:rPr>
      <w:sz w:val="20"/>
      <w:szCs w:val="20"/>
    </w:rPr>
  </w:style>
  <w:style w:type="paragraph" w:styleId="CommentSubject">
    <w:name w:val="annotation subject"/>
    <w:basedOn w:val="CommentText"/>
    <w:next w:val="CommentText"/>
    <w:link w:val="CommentSubjectChar"/>
    <w:uiPriority w:val="99"/>
    <w:semiHidden/>
    <w:unhideWhenUsed/>
    <w:rsid w:val="00BB29F0"/>
    <w:rPr>
      <w:b/>
      <w:bCs/>
    </w:rPr>
  </w:style>
  <w:style w:type="character" w:styleId="CommentSubjectChar" w:customStyle="1">
    <w:name w:val="Comment Subject Char"/>
    <w:basedOn w:val="CommentTextChar"/>
    <w:link w:val="CommentSubject"/>
    <w:uiPriority w:val="99"/>
    <w:semiHidden/>
    <w:rsid w:val="00BB29F0"/>
    <w:rPr>
      <w:b/>
      <w:bCs/>
      <w:sz w:val="20"/>
      <w:szCs w:val="20"/>
    </w:rPr>
  </w:style>
  <w:style w:type="paragraph" w:styleId="BalloonText">
    <w:name w:val="Balloon Text"/>
    <w:basedOn w:val="Normal"/>
    <w:link w:val="BalloonTextChar"/>
    <w:uiPriority w:val="99"/>
    <w:semiHidden/>
    <w:unhideWhenUsed/>
    <w:rsid w:val="00BB29F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29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2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yfloridahouse.gov/Sections/Bills/billsdetail.aspx?BillId=77143&amp;SessionId=99" TargetMode="External" Id="rId8" /><Relationship Type="http://schemas.openxmlformats.org/officeDocument/2006/relationships/hyperlink" Target="http://edocs.dlis.state.fl.us/fldocs/leg/actsflorida/1980/1980V1Pt2.pdf"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laws.flrules.org/files/Ch_2006-145.pdf"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https://laws.flrules.org/2023/22" TargetMode="Externa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myfloridahouse.gov/LD/default.aspx?bn=0360&amp;lyi=10&amp;search=1" TargetMode="External"/><Relationship Id="rId3" Type="http://schemas.openxmlformats.org/officeDocument/2006/relationships/hyperlink" Target="https://www.law.cornell.edu/wex/statute_of_repose" TargetMode="External"/><Relationship Id="rId7" Type="http://schemas.openxmlformats.org/officeDocument/2006/relationships/hyperlink" Target="https://www.myfloridahouse.gov/LD/default.aspx?bn=0085&amp;lyi=10&amp;search=1" TargetMode="External"/><Relationship Id="rId2" Type="http://schemas.openxmlformats.org/officeDocument/2006/relationships/hyperlink" Target="https://www.law.cornell.edu/wex/statute_of_limitations" TargetMode="External"/><Relationship Id="rId1" Type="http://schemas.openxmlformats.org/officeDocument/2006/relationships/hyperlink" Target="https://www.myfloridahouse.gov/Sections/Documents/loaddoc.aspx?FileName=h0085z.CJS.DOCX&amp;DocumentType=Analysis&amp;BillNumber=0085&amp;Session=2023" TargetMode="External"/><Relationship Id="rId6" Type="http://schemas.openxmlformats.org/officeDocument/2006/relationships/hyperlink" Target="https://beckerlawyers.com/wp-content/uploads/2023/04/Legislation-would-give-high-rise-residents-less-power-_-Miami-Herald.pdf" TargetMode="External"/><Relationship Id="rId5" Type="http://schemas.openxmlformats.org/officeDocument/2006/relationships/hyperlink" Target="https://codes.iccsafe.org/codes/florida" TargetMode="External"/><Relationship Id="rId4" Type="http://schemas.openxmlformats.org/officeDocument/2006/relationships/hyperlink" Target="https://www.law.cornell.edu/wex/patent_def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