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57524" w14:textId="2E1369AC" w:rsidR="00043845" w:rsidRDefault="00F17BF6" w:rsidP="00F17BF6">
      <w:pPr>
        <w:jc w:val="center"/>
        <w:rPr>
          <w:rFonts w:ascii="Times New Roman" w:hAnsi="Times New Roman" w:cs="Times New Roman"/>
          <w:b/>
          <w:sz w:val="24"/>
        </w:rPr>
      </w:pPr>
      <w:r>
        <w:rPr>
          <w:rFonts w:ascii="Times New Roman" w:hAnsi="Times New Roman" w:cs="Times New Roman"/>
          <w:b/>
          <w:sz w:val="24"/>
        </w:rPr>
        <w:t>WHITE PAPER</w:t>
      </w:r>
    </w:p>
    <w:p w14:paraId="39C9C420" w14:textId="363F1539" w:rsidR="00F17BF6" w:rsidRDefault="00F17BF6" w:rsidP="00F17BF6">
      <w:pPr>
        <w:jc w:val="center"/>
        <w:rPr>
          <w:rFonts w:ascii="Times New Roman" w:hAnsi="Times New Roman" w:cs="Times New Roman"/>
          <w:i/>
          <w:sz w:val="24"/>
        </w:rPr>
      </w:pPr>
      <w:r>
        <w:rPr>
          <w:rFonts w:ascii="Times New Roman" w:hAnsi="Times New Roman" w:cs="Times New Roman"/>
          <w:i/>
          <w:sz w:val="24"/>
        </w:rPr>
        <w:t xml:space="preserve">SB 1200 and HB 1247 – Construction Law Committee’s </w:t>
      </w:r>
      <w:r w:rsidR="00187FC7">
        <w:rPr>
          <w:rFonts w:ascii="Times New Roman" w:hAnsi="Times New Roman" w:cs="Times New Roman"/>
          <w:i/>
          <w:sz w:val="24"/>
        </w:rPr>
        <w:t>Position</w:t>
      </w:r>
    </w:p>
    <w:p w14:paraId="2914CE09" w14:textId="3ACA0346" w:rsidR="00F17BF6" w:rsidRDefault="00F17BF6" w:rsidP="00F17BF6">
      <w:pPr>
        <w:pStyle w:val="ListParagraph"/>
        <w:numPr>
          <w:ilvl w:val="0"/>
          <w:numId w:val="1"/>
        </w:numPr>
        <w:jc w:val="both"/>
        <w:rPr>
          <w:rFonts w:ascii="Times New Roman" w:hAnsi="Times New Roman" w:cs="Times New Roman"/>
          <w:b/>
          <w:sz w:val="24"/>
        </w:rPr>
      </w:pPr>
      <w:r>
        <w:rPr>
          <w:rFonts w:ascii="Times New Roman" w:hAnsi="Times New Roman" w:cs="Times New Roman"/>
          <w:b/>
          <w:sz w:val="24"/>
        </w:rPr>
        <w:t>SUMMARY</w:t>
      </w:r>
    </w:p>
    <w:p w14:paraId="72EC5670" w14:textId="2F496F53" w:rsidR="00F17BF6" w:rsidRDefault="00F17BF6" w:rsidP="00F17BF6">
      <w:pPr>
        <w:ind w:firstLine="720"/>
        <w:jc w:val="both"/>
        <w:rPr>
          <w:rFonts w:ascii="Times New Roman" w:hAnsi="Times New Roman" w:cs="Times New Roman"/>
          <w:sz w:val="24"/>
        </w:rPr>
      </w:pPr>
      <w:r>
        <w:rPr>
          <w:rFonts w:ascii="Times New Roman" w:hAnsi="Times New Roman" w:cs="Times New Roman"/>
          <w:sz w:val="24"/>
        </w:rPr>
        <w:t xml:space="preserve">The Construction Law Committee requests that the RPPTL Section take a formal position to oppose SB 1200 and HB 1247 in their entirety </w:t>
      </w:r>
      <w:proofErr w:type="gramStart"/>
      <w:r>
        <w:rPr>
          <w:rFonts w:ascii="Times New Roman" w:hAnsi="Times New Roman" w:cs="Times New Roman"/>
          <w:sz w:val="24"/>
        </w:rPr>
        <w:t>with the exception of</w:t>
      </w:r>
      <w:proofErr w:type="gramEnd"/>
      <w:r>
        <w:rPr>
          <w:rFonts w:ascii="Times New Roman" w:hAnsi="Times New Roman" w:cs="Times New Roman"/>
          <w:sz w:val="24"/>
        </w:rPr>
        <w:t xml:space="preserve"> the proposed changes adding contractors to the list of parties that may be awarded attorney fees under </w:t>
      </w:r>
      <w:r w:rsidR="00BF3DA0">
        <w:rPr>
          <w:rFonts w:ascii="Times New Roman" w:hAnsi="Times New Roman" w:cs="Times New Roman"/>
          <w:sz w:val="24"/>
        </w:rPr>
        <w:t xml:space="preserve">section </w:t>
      </w:r>
      <w:r>
        <w:rPr>
          <w:rFonts w:ascii="Times New Roman" w:hAnsi="Times New Roman" w:cs="Times New Roman"/>
          <w:sz w:val="24"/>
        </w:rPr>
        <w:t xml:space="preserve">627.756, Fla. Stat. for claims on performance and payment bonds.  </w:t>
      </w:r>
      <w:r w:rsidR="00187FC7">
        <w:rPr>
          <w:rFonts w:ascii="Times New Roman" w:hAnsi="Times New Roman" w:cs="Times New Roman"/>
          <w:sz w:val="24"/>
        </w:rPr>
        <w:t xml:space="preserve">The Construction Law Committee supports changes to Florida law to allow contractors to collect reasonable attorney fees for claims on payment and performance bonds; however, it vehemently opposes changes to Florida law that imposes increased requirements for claimants to perfect a payment bond claim for unpaid construction work, including opposing the changes proposed to Sections 255.05 and 713.23, Fla. Stat. contained with HB 1247 and SB 1200.  </w:t>
      </w:r>
    </w:p>
    <w:p w14:paraId="2D86AEAF" w14:textId="1784127F" w:rsidR="00F17BF6" w:rsidRPr="00F17BF6" w:rsidRDefault="00F17BF6" w:rsidP="00F17BF6">
      <w:pPr>
        <w:pStyle w:val="ListParagraph"/>
        <w:numPr>
          <w:ilvl w:val="0"/>
          <w:numId w:val="1"/>
        </w:numPr>
        <w:jc w:val="both"/>
        <w:rPr>
          <w:rFonts w:ascii="Times New Roman" w:hAnsi="Times New Roman" w:cs="Times New Roman"/>
          <w:b/>
          <w:sz w:val="24"/>
        </w:rPr>
      </w:pPr>
      <w:r>
        <w:rPr>
          <w:rFonts w:ascii="Times New Roman" w:hAnsi="Times New Roman" w:cs="Times New Roman"/>
          <w:b/>
          <w:sz w:val="24"/>
        </w:rPr>
        <w:t>CURRENT SITUATION</w:t>
      </w:r>
    </w:p>
    <w:p w14:paraId="40C643BD" w14:textId="2F40998C" w:rsidR="00F17BF6" w:rsidRDefault="00F17BF6" w:rsidP="00F17BF6">
      <w:pPr>
        <w:ind w:firstLine="720"/>
        <w:jc w:val="both"/>
        <w:rPr>
          <w:rFonts w:ascii="Times New Roman" w:hAnsi="Times New Roman" w:cs="Times New Roman"/>
          <w:sz w:val="24"/>
        </w:rPr>
      </w:pPr>
      <w:r>
        <w:rPr>
          <w:rFonts w:ascii="Times New Roman" w:hAnsi="Times New Roman" w:cs="Times New Roman"/>
          <w:sz w:val="24"/>
        </w:rPr>
        <w:t>The proposed changes and additions to SB 1200 and HB 1247 seek to require significantly greater hurdles for claimants on statutory payment bonds under Sections 255.05, Fla. Stat. and 713.23, Fla. Stat.  Currently, a claimant may submit a Notice of Non-Payment on a statutory payment bond (1) without verifying the claim, and (2) without listing numerous items of work performed, contract amount, amounts paid, and amounts due.  Prior to the proposed changes in these bills, the purpose of a Notice of Non-Payment to the contractor and surety was to provide notice of and security for a claim of non-payment</w:t>
      </w:r>
      <w:r w:rsidR="00BF3DA0">
        <w:rPr>
          <w:rFonts w:ascii="Times New Roman" w:hAnsi="Times New Roman" w:cs="Times New Roman"/>
          <w:sz w:val="24"/>
        </w:rPr>
        <w:t>, much like a claim of lien under Florida’s Construction Lien Law, which is also a simple statutory form.</w:t>
      </w:r>
    </w:p>
    <w:p w14:paraId="5C4F53E5" w14:textId="31C12EF0" w:rsidR="00187FC7" w:rsidRDefault="00187FC7" w:rsidP="00F17BF6">
      <w:pPr>
        <w:ind w:firstLine="720"/>
        <w:jc w:val="both"/>
        <w:rPr>
          <w:rFonts w:ascii="Times New Roman" w:hAnsi="Times New Roman" w:cs="Times New Roman"/>
          <w:sz w:val="24"/>
        </w:rPr>
      </w:pPr>
      <w:r>
        <w:rPr>
          <w:rFonts w:ascii="Times New Roman" w:hAnsi="Times New Roman" w:cs="Times New Roman"/>
          <w:sz w:val="24"/>
        </w:rPr>
        <w:t xml:space="preserve">Under Section 255.05(2)(a)2., Fla. Stat., a claimant who is not in privity with the contractor must only provide a Notice of Non-Payment within 90 days of final furnishing of work, labor, or supplies on the project.  There is no requirement that the claimant provide any detail </w:t>
      </w:r>
      <w:r w:rsidR="00717D50">
        <w:rPr>
          <w:rFonts w:ascii="Times New Roman" w:hAnsi="Times New Roman" w:cs="Times New Roman"/>
          <w:sz w:val="24"/>
        </w:rPr>
        <w:t xml:space="preserve">on the work performed or unperformed. The only exception is retainage, which must be set forth separately in the Notice.  </w:t>
      </w:r>
    </w:p>
    <w:p w14:paraId="5B3287B3" w14:textId="3E62598A" w:rsidR="00717D50" w:rsidRDefault="00717D50" w:rsidP="00F17BF6">
      <w:pPr>
        <w:ind w:firstLine="720"/>
        <w:jc w:val="both"/>
        <w:rPr>
          <w:rFonts w:ascii="Times New Roman" w:hAnsi="Times New Roman" w:cs="Times New Roman"/>
          <w:sz w:val="24"/>
        </w:rPr>
      </w:pPr>
      <w:r>
        <w:rPr>
          <w:rFonts w:ascii="Times New Roman" w:hAnsi="Times New Roman" w:cs="Times New Roman"/>
          <w:sz w:val="24"/>
        </w:rPr>
        <w:t>Under Section713.23(1)(d), Fla. Stat. a claimant perfects its payment bond rights in the same way as under 255.05(2)(a)2., Fla. Stat., but does not have to specific set out retainage being withheld.  Section 713.23(1)(d), Fla. Stat. does, however, provide a form of Notice of Non-Payment in the following form:</w:t>
      </w:r>
    </w:p>
    <w:p w14:paraId="5361D559" w14:textId="77777777" w:rsidR="00717D50" w:rsidRPr="00717D50" w:rsidRDefault="00717D50" w:rsidP="00717D50">
      <w:pPr>
        <w:ind w:firstLine="720"/>
        <w:jc w:val="both"/>
        <w:rPr>
          <w:rFonts w:ascii="Times New Roman" w:hAnsi="Times New Roman" w:cs="Times New Roman"/>
          <w:sz w:val="24"/>
        </w:rPr>
      </w:pPr>
      <w:r w:rsidRPr="00717D50">
        <w:rPr>
          <w:rFonts w:ascii="Times New Roman" w:hAnsi="Times New Roman" w:cs="Times New Roman"/>
          <w:sz w:val="24"/>
        </w:rPr>
        <w:t>NOTICE OF NONPAYMENT</w:t>
      </w:r>
    </w:p>
    <w:p w14:paraId="6B429E95" w14:textId="77777777" w:rsidR="00717D50" w:rsidRPr="00717D50" w:rsidRDefault="00717D50" w:rsidP="00717D50">
      <w:pPr>
        <w:ind w:firstLine="720"/>
        <w:jc w:val="both"/>
        <w:rPr>
          <w:rFonts w:ascii="Times New Roman" w:hAnsi="Times New Roman" w:cs="Times New Roman"/>
          <w:sz w:val="24"/>
        </w:rPr>
      </w:pPr>
    </w:p>
    <w:p w14:paraId="75CA9F81" w14:textId="77777777" w:rsidR="00717D50" w:rsidRPr="00717D50" w:rsidRDefault="00717D50" w:rsidP="00717D50">
      <w:pPr>
        <w:ind w:firstLine="720"/>
        <w:jc w:val="both"/>
        <w:rPr>
          <w:rFonts w:ascii="Times New Roman" w:hAnsi="Times New Roman" w:cs="Times New Roman"/>
          <w:sz w:val="24"/>
        </w:rPr>
      </w:pPr>
      <w:r w:rsidRPr="00717D50">
        <w:rPr>
          <w:rFonts w:ascii="Times New Roman" w:hAnsi="Times New Roman" w:cs="Times New Roman"/>
          <w:sz w:val="24"/>
        </w:rPr>
        <w:t>To</w:t>
      </w:r>
      <w:proofErr w:type="gramStart"/>
      <w:r w:rsidRPr="00717D50">
        <w:rPr>
          <w:rFonts w:ascii="Times New Roman" w:hAnsi="Times New Roman" w:cs="Times New Roman"/>
          <w:sz w:val="24"/>
        </w:rPr>
        <w:t xml:space="preserve">   (</w:t>
      </w:r>
      <w:proofErr w:type="gramEnd"/>
      <w:r w:rsidRPr="00717D50">
        <w:rPr>
          <w:rFonts w:ascii="Times New Roman" w:hAnsi="Times New Roman" w:cs="Times New Roman"/>
          <w:sz w:val="24"/>
        </w:rPr>
        <w:t xml:space="preserve">name of contractor and address)  </w:t>
      </w:r>
    </w:p>
    <w:p w14:paraId="79560EEC" w14:textId="77777777" w:rsidR="00717D50" w:rsidRPr="00717D50" w:rsidRDefault="00717D50" w:rsidP="00717D50">
      <w:pPr>
        <w:ind w:firstLine="720"/>
        <w:jc w:val="both"/>
        <w:rPr>
          <w:rFonts w:ascii="Times New Roman" w:hAnsi="Times New Roman" w:cs="Times New Roman"/>
          <w:sz w:val="24"/>
        </w:rPr>
      </w:pPr>
    </w:p>
    <w:p w14:paraId="758765B3" w14:textId="77777777" w:rsidR="00717D50" w:rsidRPr="00717D50" w:rsidRDefault="00717D50" w:rsidP="00717D50">
      <w:pPr>
        <w:ind w:firstLine="720"/>
        <w:jc w:val="both"/>
        <w:rPr>
          <w:rFonts w:ascii="Times New Roman" w:hAnsi="Times New Roman" w:cs="Times New Roman"/>
          <w:sz w:val="24"/>
        </w:rPr>
      </w:pPr>
      <w:r w:rsidRPr="00717D50">
        <w:rPr>
          <w:rFonts w:ascii="Times New Roman" w:hAnsi="Times New Roman" w:cs="Times New Roman"/>
          <w:sz w:val="24"/>
        </w:rPr>
        <w:t xml:space="preserve">  (name of surety and address)  </w:t>
      </w:r>
    </w:p>
    <w:p w14:paraId="66556881" w14:textId="77777777" w:rsidR="00717D50" w:rsidRPr="00717D50" w:rsidRDefault="00717D50" w:rsidP="00717D50">
      <w:pPr>
        <w:ind w:firstLine="720"/>
        <w:jc w:val="both"/>
        <w:rPr>
          <w:rFonts w:ascii="Times New Roman" w:hAnsi="Times New Roman" w:cs="Times New Roman"/>
          <w:sz w:val="24"/>
        </w:rPr>
      </w:pPr>
    </w:p>
    <w:p w14:paraId="3EDBC286" w14:textId="4AC9A48D" w:rsidR="00717D50" w:rsidRPr="00717D50" w:rsidRDefault="00717D50" w:rsidP="00717D50">
      <w:pPr>
        <w:ind w:firstLine="720"/>
        <w:jc w:val="both"/>
        <w:rPr>
          <w:rFonts w:ascii="Times New Roman" w:hAnsi="Times New Roman" w:cs="Times New Roman"/>
          <w:sz w:val="24"/>
        </w:rPr>
      </w:pPr>
      <w:r w:rsidRPr="00717D50">
        <w:rPr>
          <w:rFonts w:ascii="Times New Roman" w:hAnsi="Times New Roman" w:cs="Times New Roman"/>
          <w:sz w:val="24"/>
        </w:rPr>
        <w:lastRenderedPageBreak/>
        <w:t>The undersigned notifies you that he or she has furnished</w:t>
      </w:r>
      <w:proofErr w:type="gramStart"/>
      <w:r w:rsidRPr="00717D50">
        <w:rPr>
          <w:rFonts w:ascii="Times New Roman" w:hAnsi="Times New Roman" w:cs="Times New Roman"/>
          <w:sz w:val="24"/>
        </w:rPr>
        <w:t xml:space="preserve">   (</w:t>
      </w:r>
      <w:proofErr w:type="gramEnd"/>
      <w:r w:rsidRPr="00717D50">
        <w:rPr>
          <w:rFonts w:ascii="Times New Roman" w:hAnsi="Times New Roman" w:cs="Times New Roman"/>
          <w:sz w:val="24"/>
        </w:rPr>
        <w:t xml:space="preserve">describe labor, services, or materials)   for the improvement of the real property identified as   (property description)  . The amount now due and unpaid is </w:t>
      </w:r>
      <w:proofErr w:type="gramStart"/>
      <w:r w:rsidRPr="00717D50">
        <w:rPr>
          <w:rFonts w:ascii="Times New Roman" w:hAnsi="Times New Roman" w:cs="Times New Roman"/>
          <w:sz w:val="24"/>
        </w:rPr>
        <w:t>$ .</w:t>
      </w:r>
      <w:proofErr w:type="gramEnd"/>
    </w:p>
    <w:p w14:paraId="5F5E5AC3" w14:textId="7AADE42E" w:rsidR="00717D50" w:rsidRDefault="00717D50" w:rsidP="00717D50">
      <w:pPr>
        <w:ind w:firstLine="720"/>
        <w:jc w:val="both"/>
        <w:rPr>
          <w:rFonts w:ascii="Times New Roman" w:hAnsi="Times New Roman" w:cs="Times New Roman"/>
          <w:sz w:val="24"/>
        </w:rPr>
      </w:pPr>
      <w:r w:rsidRPr="00717D50">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717D50">
        <w:rPr>
          <w:rFonts w:ascii="Times New Roman" w:hAnsi="Times New Roman" w:cs="Times New Roman"/>
          <w:sz w:val="24"/>
        </w:rPr>
        <w:t>(signature and address of lienor</w:t>
      </w:r>
      <w:r>
        <w:rPr>
          <w:rFonts w:ascii="Times New Roman" w:hAnsi="Times New Roman" w:cs="Times New Roman"/>
          <w:sz w:val="24"/>
        </w:rPr>
        <w:t>)</w:t>
      </w:r>
    </w:p>
    <w:p w14:paraId="7C17AA86" w14:textId="56E3B0D9" w:rsidR="00717D50" w:rsidRDefault="00717D50" w:rsidP="00717D50">
      <w:pPr>
        <w:ind w:firstLine="720"/>
        <w:jc w:val="both"/>
        <w:rPr>
          <w:rFonts w:ascii="Times New Roman" w:hAnsi="Times New Roman" w:cs="Times New Roman"/>
          <w:sz w:val="24"/>
        </w:rPr>
      </w:pPr>
      <w:r>
        <w:rPr>
          <w:rFonts w:ascii="Times New Roman" w:hAnsi="Times New Roman" w:cs="Times New Roman"/>
          <w:sz w:val="24"/>
        </w:rPr>
        <w:t>Additionally, in Sections 255.05(8) and 713.23(16)(4), Fla. Stat. already provide</w:t>
      </w:r>
      <w:r w:rsidR="00641DE1">
        <w:rPr>
          <w:rFonts w:ascii="Times New Roman" w:hAnsi="Times New Roman" w:cs="Times New Roman"/>
          <w:sz w:val="24"/>
        </w:rPr>
        <w:t xml:space="preserve"> a statutory procedure for obtaining the information that SB 1200 and HB 1247 want to add into Sections 255.05(2)(a)2. and 713.23(1)(d), Fla. Stat. That procedure is called a Sworn Statement of Account and it carries with </w:t>
      </w:r>
      <w:proofErr w:type="gramStart"/>
      <w:r w:rsidR="00641DE1">
        <w:rPr>
          <w:rFonts w:ascii="Times New Roman" w:hAnsi="Times New Roman" w:cs="Times New Roman"/>
          <w:sz w:val="24"/>
        </w:rPr>
        <w:t>it</w:t>
      </w:r>
      <w:proofErr w:type="gramEnd"/>
      <w:r w:rsidR="00641DE1">
        <w:rPr>
          <w:rFonts w:ascii="Times New Roman" w:hAnsi="Times New Roman" w:cs="Times New Roman"/>
          <w:sz w:val="24"/>
        </w:rPr>
        <w:t xml:space="preserve"> significant penalties for failure to provide the information, including the loss of lien or bond rights. </w:t>
      </w:r>
    </w:p>
    <w:p w14:paraId="1F46BD09" w14:textId="637ECCA0" w:rsidR="00F17BF6" w:rsidRDefault="00F17BF6" w:rsidP="00F17BF6">
      <w:pPr>
        <w:pStyle w:val="ListParagraph"/>
        <w:numPr>
          <w:ilvl w:val="0"/>
          <w:numId w:val="1"/>
        </w:numPr>
        <w:jc w:val="both"/>
        <w:rPr>
          <w:rFonts w:ascii="Times New Roman" w:hAnsi="Times New Roman" w:cs="Times New Roman"/>
          <w:b/>
          <w:sz w:val="24"/>
        </w:rPr>
      </w:pPr>
      <w:r>
        <w:rPr>
          <w:rFonts w:ascii="Times New Roman" w:hAnsi="Times New Roman" w:cs="Times New Roman"/>
          <w:b/>
          <w:sz w:val="24"/>
        </w:rPr>
        <w:t>EFFECT OF PROPOSED CHANGES</w:t>
      </w:r>
    </w:p>
    <w:p w14:paraId="127D070C" w14:textId="77777777" w:rsidR="00F17BF6" w:rsidRPr="00F17BF6" w:rsidRDefault="00F17BF6" w:rsidP="00F17BF6">
      <w:pPr>
        <w:pStyle w:val="ListParagraph"/>
        <w:ind w:left="1080"/>
        <w:jc w:val="both"/>
        <w:rPr>
          <w:rFonts w:ascii="Times New Roman" w:hAnsi="Times New Roman" w:cs="Times New Roman"/>
          <w:b/>
          <w:sz w:val="24"/>
        </w:rPr>
      </w:pPr>
    </w:p>
    <w:p w14:paraId="63BB0559" w14:textId="6BFCFE45" w:rsidR="00F17BF6" w:rsidRDefault="00F17BF6" w:rsidP="00F17BF6">
      <w:pPr>
        <w:pStyle w:val="ListParagraph"/>
        <w:numPr>
          <w:ilvl w:val="0"/>
          <w:numId w:val="2"/>
        </w:numPr>
        <w:jc w:val="both"/>
        <w:rPr>
          <w:rFonts w:ascii="Times New Roman" w:hAnsi="Times New Roman" w:cs="Times New Roman"/>
          <w:b/>
          <w:sz w:val="24"/>
        </w:rPr>
      </w:pPr>
      <w:r>
        <w:rPr>
          <w:rFonts w:ascii="Times New Roman" w:hAnsi="Times New Roman" w:cs="Times New Roman"/>
          <w:b/>
          <w:sz w:val="24"/>
        </w:rPr>
        <w:t>Changes to Section 255.05</w:t>
      </w:r>
      <w:r w:rsidR="00BF3DA0">
        <w:rPr>
          <w:rFonts w:ascii="Times New Roman" w:hAnsi="Times New Roman" w:cs="Times New Roman"/>
          <w:b/>
          <w:sz w:val="24"/>
        </w:rPr>
        <w:t>, Fla. Stat.</w:t>
      </w:r>
    </w:p>
    <w:p w14:paraId="70D478E1" w14:textId="77777777" w:rsidR="009D1543" w:rsidRPr="00F17BF6" w:rsidRDefault="009D1543" w:rsidP="009D1543">
      <w:pPr>
        <w:pStyle w:val="ListParagraph"/>
        <w:ind w:left="1080"/>
        <w:jc w:val="both"/>
        <w:rPr>
          <w:rFonts w:ascii="Times New Roman" w:hAnsi="Times New Roman" w:cs="Times New Roman"/>
          <w:b/>
          <w:sz w:val="24"/>
        </w:rPr>
      </w:pPr>
    </w:p>
    <w:p w14:paraId="531A21F8" w14:textId="11A150EE" w:rsidR="009D1543" w:rsidRPr="009D1543" w:rsidRDefault="00F17BF6" w:rsidP="00F17BF6">
      <w:pPr>
        <w:pStyle w:val="ListParagraph"/>
        <w:numPr>
          <w:ilvl w:val="1"/>
          <w:numId w:val="2"/>
        </w:numPr>
        <w:jc w:val="both"/>
        <w:rPr>
          <w:rFonts w:ascii="Times New Roman" w:hAnsi="Times New Roman" w:cs="Times New Roman"/>
          <w:b/>
          <w:sz w:val="24"/>
        </w:rPr>
      </w:pPr>
      <w:r>
        <w:rPr>
          <w:rFonts w:ascii="Times New Roman" w:hAnsi="Times New Roman" w:cs="Times New Roman"/>
          <w:sz w:val="24"/>
        </w:rPr>
        <w:t xml:space="preserve">Primarily, the proposed changes to 255.05, Fla. Stat. in both SB 1200 and HB 1247 </w:t>
      </w:r>
      <w:r w:rsidR="009D1543">
        <w:rPr>
          <w:rFonts w:ascii="Times New Roman" w:hAnsi="Times New Roman" w:cs="Times New Roman"/>
          <w:sz w:val="24"/>
        </w:rPr>
        <w:t>will require</w:t>
      </w:r>
      <w:r>
        <w:rPr>
          <w:rFonts w:ascii="Times New Roman" w:hAnsi="Times New Roman" w:cs="Times New Roman"/>
          <w:sz w:val="24"/>
        </w:rPr>
        <w:t xml:space="preserve"> that a Notice of Non-Payment on a statutory payment bond on public works project list</w:t>
      </w:r>
      <w:r w:rsidR="00FB507E">
        <w:rPr>
          <w:rFonts w:ascii="Times New Roman" w:hAnsi="Times New Roman" w:cs="Times New Roman"/>
          <w:sz w:val="24"/>
        </w:rPr>
        <w:t xml:space="preserve"> the following:</w:t>
      </w:r>
    </w:p>
    <w:p w14:paraId="143B2524" w14:textId="77777777" w:rsidR="009D1543" w:rsidRPr="009D1543" w:rsidRDefault="009D1543" w:rsidP="009D1543">
      <w:pPr>
        <w:pStyle w:val="ListParagraph"/>
        <w:numPr>
          <w:ilvl w:val="2"/>
          <w:numId w:val="2"/>
        </w:numPr>
        <w:jc w:val="both"/>
        <w:rPr>
          <w:rFonts w:ascii="Times New Roman" w:hAnsi="Times New Roman" w:cs="Times New Roman"/>
          <w:b/>
          <w:sz w:val="24"/>
        </w:rPr>
      </w:pPr>
      <w:r>
        <w:rPr>
          <w:rFonts w:ascii="Times New Roman" w:hAnsi="Times New Roman" w:cs="Times New Roman"/>
          <w:sz w:val="24"/>
        </w:rPr>
        <w:t xml:space="preserve">(a) the nature of the labor or services performed; </w:t>
      </w:r>
    </w:p>
    <w:p w14:paraId="4B7E164C" w14:textId="77777777" w:rsidR="009D1543" w:rsidRPr="009D1543" w:rsidRDefault="009D1543" w:rsidP="009D1543">
      <w:pPr>
        <w:pStyle w:val="ListParagraph"/>
        <w:numPr>
          <w:ilvl w:val="2"/>
          <w:numId w:val="2"/>
        </w:numPr>
        <w:jc w:val="both"/>
        <w:rPr>
          <w:rFonts w:ascii="Times New Roman" w:hAnsi="Times New Roman" w:cs="Times New Roman"/>
          <w:b/>
          <w:sz w:val="24"/>
        </w:rPr>
      </w:pPr>
      <w:r>
        <w:rPr>
          <w:rFonts w:ascii="Times New Roman" w:hAnsi="Times New Roman" w:cs="Times New Roman"/>
          <w:sz w:val="24"/>
        </w:rPr>
        <w:t xml:space="preserve">(b) the materials furnished; </w:t>
      </w:r>
    </w:p>
    <w:p w14:paraId="5109AA07" w14:textId="77777777" w:rsidR="009D1543" w:rsidRPr="009D1543" w:rsidRDefault="009D1543" w:rsidP="009D1543">
      <w:pPr>
        <w:pStyle w:val="ListParagraph"/>
        <w:numPr>
          <w:ilvl w:val="2"/>
          <w:numId w:val="2"/>
        </w:numPr>
        <w:jc w:val="both"/>
        <w:rPr>
          <w:rFonts w:ascii="Times New Roman" w:hAnsi="Times New Roman" w:cs="Times New Roman"/>
          <w:b/>
          <w:sz w:val="24"/>
        </w:rPr>
      </w:pPr>
      <w:r>
        <w:rPr>
          <w:rFonts w:ascii="Times New Roman" w:hAnsi="Times New Roman" w:cs="Times New Roman"/>
          <w:sz w:val="24"/>
        </w:rPr>
        <w:t xml:space="preserve">(c) the materials to be furnished, if known; </w:t>
      </w:r>
    </w:p>
    <w:p w14:paraId="19EE578F" w14:textId="77777777" w:rsidR="009D1543" w:rsidRPr="009D1543" w:rsidRDefault="009D1543" w:rsidP="009D1543">
      <w:pPr>
        <w:pStyle w:val="ListParagraph"/>
        <w:numPr>
          <w:ilvl w:val="2"/>
          <w:numId w:val="2"/>
        </w:numPr>
        <w:jc w:val="both"/>
        <w:rPr>
          <w:rFonts w:ascii="Times New Roman" w:hAnsi="Times New Roman" w:cs="Times New Roman"/>
          <w:b/>
          <w:sz w:val="24"/>
        </w:rPr>
      </w:pPr>
      <w:r>
        <w:rPr>
          <w:rFonts w:ascii="Times New Roman" w:hAnsi="Times New Roman" w:cs="Times New Roman"/>
          <w:sz w:val="24"/>
        </w:rPr>
        <w:t xml:space="preserve">(d) the amount paid on account to date; </w:t>
      </w:r>
    </w:p>
    <w:p w14:paraId="4458E12A" w14:textId="77777777" w:rsidR="009D1543" w:rsidRPr="009D1543" w:rsidRDefault="009D1543" w:rsidP="009D1543">
      <w:pPr>
        <w:pStyle w:val="ListParagraph"/>
        <w:numPr>
          <w:ilvl w:val="2"/>
          <w:numId w:val="2"/>
        </w:numPr>
        <w:jc w:val="both"/>
        <w:rPr>
          <w:rFonts w:ascii="Times New Roman" w:hAnsi="Times New Roman" w:cs="Times New Roman"/>
          <w:b/>
          <w:sz w:val="24"/>
        </w:rPr>
      </w:pPr>
      <w:r>
        <w:rPr>
          <w:rFonts w:ascii="Times New Roman" w:hAnsi="Times New Roman" w:cs="Times New Roman"/>
          <w:sz w:val="24"/>
        </w:rPr>
        <w:t xml:space="preserve">(e) the amount due; and </w:t>
      </w:r>
    </w:p>
    <w:p w14:paraId="1826946B" w14:textId="4E301F9E" w:rsidR="00F17BF6" w:rsidRPr="009D1543" w:rsidRDefault="009D1543" w:rsidP="009D1543">
      <w:pPr>
        <w:pStyle w:val="ListParagraph"/>
        <w:numPr>
          <w:ilvl w:val="2"/>
          <w:numId w:val="2"/>
        </w:numPr>
        <w:jc w:val="both"/>
        <w:rPr>
          <w:rFonts w:ascii="Times New Roman" w:hAnsi="Times New Roman" w:cs="Times New Roman"/>
          <w:b/>
          <w:sz w:val="24"/>
        </w:rPr>
      </w:pPr>
      <w:r>
        <w:rPr>
          <w:rFonts w:ascii="Times New Roman" w:hAnsi="Times New Roman" w:cs="Times New Roman"/>
          <w:sz w:val="24"/>
        </w:rPr>
        <w:t>(f) the amount to become due.</w:t>
      </w:r>
    </w:p>
    <w:p w14:paraId="2739DCD2" w14:textId="77777777" w:rsidR="009D1543" w:rsidRPr="009D1543" w:rsidRDefault="009D1543" w:rsidP="009D1543">
      <w:pPr>
        <w:pStyle w:val="ListParagraph"/>
        <w:ind w:left="2520"/>
        <w:jc w:val="both"/>
        <w:rPr>
          <w:rFonts w:ascii="Times New Roman" w:hAnsi="Times New Roman" w:cs="Times New Roman"/>
          <w:b/>
          <w:sz w:val="24"/>
        </w:rPr>
      </w:pPr>
    </w:p>
    <w:p w14:paraId="6F1DEE1D" w14:textId="10ABE69D" w:rsidR="009D1543" w:rsidRPr="009D1543" w:rsidRDefault="009D1543" w:rsidP="009D1543">
      <w:pPr>
        <w:pStyle w:val="ListParagraph"/>
        <w:numPr>
          <w:ilvl w:val="1"/>
          <w:numId w:val="2"/>
        </w:numPr>
        <w:jc w:val="both"/>
        <w:rPr>
          <w:rFonts w:ascii="Times New Roman" w:hAnsi="Times New Roman" w:cs="Times New Roman"/>
          <w:b/>
          <w:sz w:val="24"/>
        </w:rPr>
      </w:pPr>
      <w:r>
        <w:rPr>
          <w:rFonts w:ascii="Times New Roman" w:hAnsi="Times New Roman" w:cs="Times New Roman"/>
          <w:sz w:val="24"/>
        </w:rPr>
        <w:t>If the claimant negligently inclu</w:t>
      </w:r>
      <w:r w:rsidR="00BF3DA0">
        <w:rPr>
          <w:rFonts w:ascii="Times New Roman" w:hAnsi="Times New Roman" w:cs="Times New Roman"/>
          <w:sz w:val="24"/>
        </w:rPr>
        <w:t>des</w:t>
      </w:r>
      <w:r>
        <w:rPr>
          <w:rFonts w:ascii="Times New Roman" w:hAnsi="Times New Roman" w:cs="Times New Roman"/>
          <w:sz w:val="24"/>
        </w:rPr>
        <w:t xml:space="preserve"> wrong information in the Notice of Non-Payment</w:t>
      </w:r>
      <w:r w:rsidR="00BF3DA0">
        <w:rPr>
          <w:rFonts w:ascii="Times New Roman" w:hAnsi="Times New Roman" w:cs="Times New Roman"/>
          <w:sz w:val="24"/>
        </w:rPr>
        <w:t>, it</w:t>
      </w:r>
      <w:r>
        <w:rPr>
          <w:rFonts w:ascii="Times New Roman" w:hAnsi="Times New Roman" w:cs="Times New Roman"/>
          <w:sz w:val="24"/>
        </w:rPr>
        <w:t xml:space="preserve"> does not operate to defeat a valid bond claim </w:t>
      </w:r>
      <w:r>
        <w:rPr>
          <w:rFonts w:ascii="Times New Roman" w:hAnsi="Times New Roman" w:cs="Times New Roman"/>
          <w:b/>
          <w:sz w:val="24"/>
          <w:u w:val="single"/>
        </w:rPr>
        <w:t>so long as</w:t>
      </w:r>
      <w:r>
        <w:rPr>
          <w:rFonts w:ascii="Times New Roman" w:hAnsi="Times New Roman" w:cs="Times New Roman"/>
          <w:sz w:val="24"/>
        </w:rPr>
        <w:t xml:space="preserve"> the information does not prejudice the contractor.  Any </w:t>
      </w:r>
      <w:r w:rsidR="00BF3DA0">
        <w:rPr>
          <w:rFonts w:ascii="Times New Roman" w:hAnsi="Times New Roman" w:cs="Times New Roman"/>
          <w:sz w:val="24"/>
        </w:rPr>
        <w:t xml:space="preserve">gross negligence or </w:t>
      </w:r>
      <w:r>
        <w:rPr>
          <w:rFonts w:ascii="Times New Roman" w:hAnsi="Times New Roman" w:cs="Times New Roman"/>
          <w:sz w:val="24"/>
        </w:rPr>
        <w:t>willful overstatement will be grounds to defeat the bond claim</w:t>
      </w:r>
      <w:r w:rsidR="00BF3DA0">
        <w:rPr>
          <w:rFonts w:ascii="Times New Roman" w:hAnsi="Times New Roman" w:cs="Times New Roman"/>
          <w:sz w:val="24"/>
        </w:rPr>
        <w:t>, including any information that was negligently included or not included</w:t>
      </w:r>
      <w:r>
        <w:rPr>
          <w:rFonts w:ascii="Times New Roman" w:hAnsi="Times New Roman" w:cs="Times New Roman"/>
          <w:sz w:val="24"/>
        </w:rPr>
        <w:t>.</w:t>
      </w:r>
    </w:p>
    <w:p w14:paraId="353CF4A7" w14:textId="77777777" w:rsidR="009D1543" w:rsidRPr="009D1543" w:rsidRDefault="009D1543" w:rsidP="009D1543">
      <w:pPr>
        <w:pStyle w:val="ListParagraph"/>
        <w:ind w:left="1800"/>
        <w:jc w:val="both"/>
        <w:rPr>
          <w:rFonts w:ascii="Times New Roman" w:hAnsi="Times New Roman" w:cs="Times New Roman"/>
          <w:b/>
          <w:sz w:val="24"/>
        </w:rPr>
      </w:pPr>
    </w:p>
    <w:p w14:paraId="46628FB6" w14:textId="2CF5E0D1" w:rsidR="009D1543" w:rsidRPr="009D1543" w:rsidRDefault="009D1543" w:rsidP="009D1543">
      <w:pPr>
        <w:pStyle w:val="ListParagraph"/>
        <w:numPr>
          <w:ilvl w:val="1"/>
          <w:numId w:val="2"/>
        </w:numPr>
        <w:jc w:val="both"/>
        <w:rPr>
          <w:rFonts w:ascii="Times New Roman" w:hAnsi="Times New Roman" w:cs="Times New Roman"/>
          <w:b/>
          <w:sz w:val="24"/>
        </w:rPr>
      </w:pPr>
      <w:r>
        <w:rPr>
          <w:rFonts w:ascii="Times New Roman" w:hAnsi="Times New Roman" w:cs="Times New Roman"/>
          <w:sz w:val="24"/>
        </w:rPr>
        <w:t xml:space="preserve">First, the proposed requirements to be set forth in the Notice of Non-Payment are akin to requiring a claimant to submit a Sworn Statement of Account pursuant to Section </w:t>
      </w:r>
      <w:r w:rsidR="00BF3DA0">
        <w:rPr>
          <w:rFonts w:ascii="Times New Roman" w:hAnsi="Times New Roman" w:cs="Times New Roman"/>
          <w:sz w:val="24"/>
        </w:rPr>
        <w:t>255.05(8)</w:t>
      </w:r>
      <w:r>
        <w:rPr>
          <w:rFonts w:ascii="Times New Roman" w:hAnsi="Times New Roman" w:cs="Times New Roman"/>
          <w:sz w:val="24"/>
        </w:rPr>
        <w:t xml:space="preserve">, Fla. Stat.  </w:t>
      </w:r>
      <w:r w:rsidR="00BF3DA0" w:rsidRPr="00FB507E">
        <w:rPr>
          <w:rFonts w:ascii="Times New Roman" w:hAnsi="Times New Roman" w:cs="Times New Roman"/>
          <w:b/>
          <w:sz w:val="24"/>
        </w:rPr>
        <w:t>The procedure for seeking a Sworn Statement of Account exists</w:t>
      </w:r>
      <w:r w:rsidR="00013EAD">
        <w:rPr>
          <w:rFonts w:ascii="Times New Roman" w:hAnsi="Times New Roman" w:cs="Times New Roman"/>
          <w:b/>
          <w:sz w:val="24"/>
        </w:rPr>
        <w:t>. The proposed changes</w:t>
      </w:r>
      <w:bookmarkStart w:id="0" w:name="_GoBack"/>
      <w:bookmarkEnd w:id="0"/>
      <w:r w:rsidR="00BF3DA0" w:rsidRPr="00FB507E">
        <w:rPr>
          <w:rFonts w:ascii="Times New Roman" w:hAnsi="Times New Roman" w:cs="Times New Roman"/>
          <w:b/>
          <w:sz w:val="24"/>
        </w:rPr>
        <w:t xml:space="preserve"> would be duplicative</w:t>
      </w:r>
      <w:r w:rsidR="00301979" w:rsidRPr="00FB507E">
        <w:rPr>
          <w:rFonts w:ascii="Times New Roman" w:hAnsi="Times New Roman" w:cs="Times New Roman"/>
          <w:b/>
          <w:sz w:val="24"/>
        </w:rPr>
        <w:t xml:space="preserve"> and </w:t>
      </w:r>
      <w:r w:rsidR="00FB507E" w:rsidRPr="00FB507E">
        <w:rPr>
          <w:rFonts w:ascii="Times New Roman" w:hAnsi="Times New Roman" w:cs="Times New Roman"/>
          <w:b/>
          <w:sz w:val="24"/>
        </w:rPr>
        <w:t>unnecessary</w:t>
      </w:r>
      <w:r w:rsidR="00BF3DA0">
        <w:rPr>
          <w:rFonts w:ascii="Times New Roman" w:hAnsi="Times New Roman" w:cs="Times New Roman"/>
          <w:sz w:val="24"/>
        </w:rPr>
        <w:t xml:space="preserve">. </w:t>
      </w:r>
      <w:r>
        <w:rPr>
          <w:rFonts w:ascii="Times New Roman" w:hAnsi="Times New Roman" w:cs="Times New Roman"/>
          <w:sz w:val="24"/>
        </w:rPr>
        <w:t xml:space="preserve">This is significant because if the claimant does not comply with each item required in the proposed requirements, then it could be grounds to attack the validity of the bond claim.  The proposed requirements will make it vastly more difficult for a claimant to perfect a bond claim.  Indeed, the proposed requirements will make submitting a payment bond claim more onerous than a claim of lien, which clouds title to real property.  </w:t>
      </w:r>
    </w:p>
    <w:p w14:paraId="75873777" w14:textId="77777777" w:rsidR="009D1543" w:rsidRPr="009D1543" w:rsidRDefault="009D1543" w:rsidP="009D1543">
      <w:pPr>
        <w:pStyle w:val="ListParagraph"/>
        <w:rPr>
          <w:rFonts w:ascii="Times New Roman" w:hAnsi="Times New Roman" w:cs="Times New Roman"/>
          <w:b/>
          <w:sz w:val="24"/>
        </w:rPr>
      </w:pPr>
    </w:p>
    <w:p w14:paraId="104D0360" w14:textId="765C00B7" w:rsidR="009D1543" w:rsidRPr="009D1543" w:rsidRDefault="009D1543" w:rsidP="009D1543">
      <w:pPr>
        <w:pStyle w:val="ListParagraph"/>
        <w:numPr>
          <w:ilvl w:val="1"/>
          <w:numId w:val="2"/>
        </w:numPr>
        <w:jc w:val="both"/>
        <w:rPr>
          <w:rFonts w:ascii="Times New Roman" w:hAnsi="Times New Roman" w:cs="Times New Roman"/>
          <w:b/>
          <w:sz w:val="24"/>
        </w:rPr>
      </w:pPr>
      <w:r>
        <w:rPr>
          <w:rFonts w:ascii="Times New Roman" w:hAnsi="Times New Roman" w:cs="Times New Roman"/>
          <w:sz w:val="24"/>
        </w:rPr>
        <w:lastRenderedPageBreak/>
        <w:t>Second, the proposed requirements will inevitably create an abundance of litigation as to whether a Notice of Non-Payment was properly prepared and served in order to perfect a bond claim.</w:t>
      </w:r>
    </w:p>
    <w:p w14:paraId="516DFAAA" w14:textId="77777777" w:rsidR="009D1543" w:rsidRPr="009D1543" w:rsidRDefault="009D1543" w:rsidP="009D1543">
      <w:pPr>
        <w:pStyle w:val="ListParagraph"/>
        <w:rPr>
          <w:rFonts w:ascii="Times New Roman" w:hAnsi="Times New Roman" w:cs="Times New Roman"/>
          <w:b/>
          <w:sz w:val="24"/>
        </w:rPr>
      </w:pPr>
    </w:p>
    <w:p w14:paraId="42946185" w14:textId="6D409F05" w:rsidR="009D1543" w:rsidRPr="009D1543" w:rsidRDefault="009D1543" w:rsidP="009D1543">
      <w:pPr>
        <w:pStyle w:val="ListParagraph"/>
        <w:numPr>
          <w:ilvl w:val="1"/>
          <w:numId w:val="2"/>
        </w:numPr>
        <w:jc w:val="both"/>
        <w:rPr>
          <w:rFonts w:ascii="Times New Roman" w:hAnsi="Times New Roman" w:cs="Times New Roman"/>
          <w:b/>
          <w:sz w:val="24"/>
        </w:rPr>
      </w:pPr>
      <w:r>
        <w:rPr>
          <w:rFonts w:ascii="Times New Roman" w:hAnsi="Times New Roman" w:cs="Times New Roman"/>
          <w:sz w:val="24"/>
        </w:rPr>
        <w:t xml:space="preserve">Lastly, the contractor’s right to argue that it is prejudiced by the negligent inclusion of wrong information will give contractors and surety many new grounds to argue that subcontractors and other claimants have submitted a wrongful claim, refuse to pay the claimant, and promote litigation. </w:t>
      </w:r>
    </w:p>
    <w:p w14:paraId="1758CC64" w14:textId="77777777" w:rsidR="009D1543" w:rsidRPr="009D1543" w:rsidRDefault="009D1543" w:rsidP="009D1543">
      <w:pPr>
        <w:pStyle w:val="ListParagraph"/>
        <w:rPr>
          <w:rFonts w:ascii="Times New Roman" w:hAnsi="Times New Roman" w:cs="Times New Roman"/>
          <w:b/>
          <w:sz w:val="24"/>
        </w:rPr>
      </w:pPr>
    </w:p>
    <w:p w14:paraId="632180D8" w14:textId="451B2609" w:rsidR="009D1543" w:rsidRDefault="009D1543" w:rsidP="009D1543">
      <w:pPr>
        <w:pStyle w:val="ListParagraph"/>
        <w:numPr>
          <w:ilvl w:val="0"/>
          <w:numId w:val="2"/>
        </w:numPr>
        <w:jc w:val="both"/>
        <w:rPr>
          <w:rFonts w:ascii="Times New Roman" w:hAnsi="Times New Roman" w:cs="Times New Roman"/>
          <w:b/>
          <w:sz w:val="24"/>
        </w:rPr>
      </w:pPr>
      <w:r>
        <w:rPr>
          <w:rFonts w:ascii="Times New Roman" w:hAnsi="Times New Roman" w:cs="Times New Roman"/>
          <w:b/>
          <w:sz w:val="24"/>
        </w:rPr>
        <w:t>Changes to 627.756, Fla. Stat.</w:t>
      </w:r>
    </w:p>
    <w:p w14:paraId="3D8F07B4" w14:textId="77777777" w:rsidR="003854AD" w:rsidRPr="003854AD" w:rsidRDefault="003854AD" w:rsidP="003854AD">
      <w:pPr>
        <w:pStyle w:val="ListParagraph"/>
        <w:ind w:left="1080"/>
        <w:jc w:val="both"/>
        <w:rPr>
          <w:rFonts w:ascii="Times New Roman" w:hAnsi="Times New Roman" w:cs="Times New Roman"/>
          <w:sz w:val="24"/>
        </w:rPr>
      </w:pPr>
    </w:p>
    <w:p w14:paraId="01B7EA77" w14:textId="06975FD7" w:rsidR="009D1543" w:rsidRPr="003854AD" w:rsidRDefault="009D1543" w:rsidP="009D1543">
      <w:pPr>
        <w:pStyle w:val="ListParagraph"/>
        <w:numPr>
          <w:ilvl w:val="1"/>
          <w:numId w:val="2"/>
        </w:numPr>
        <w:jc w:val="both"/>
        <w:rPr>
          <w:rFonts w:ascii="Times New Roman" w:hAnsi="Times New Roman" w:cs="Times New Roman"/>
          <w:b/>
          <w:sz w:val="24"/>
        </w:rPr>
      </w:pPr>
      <w:r>
        <w:rPr>
          <w:rFonts w:ascii="Times New Roman" w:hAnsi="Times New Roman" w:cs="Times New Roman"/>
          <w:sz w:val="24"/>
        </w:rPr>
        <w:t xml:space="preserve">The Construction Law Committee </w:t>
      </w:r>
      <w:r w:rsidR="00FB507E">
        <w:rPr>
          <w:rFonts w:ascii="Times New Roman" w:hAnsi="Times New Roman" w:cs="Times New Roman"/>
          <w:sz w:val="24"/>
        </w:rPr>
        <w:t>agrees with the</w:t>
      </w:r>
      <w:r>
        <w:rPr>
          <w:rFonts w:ascii="Times New Roman" w:hAnsi="Times New Roman" w:cs="Times New Roman"/>
          <w:sz w:val="24"/>
        </w:rPr>
        <w:t xml:space="preserve"> changes proposed to Section 627.756, Fla. Stat. </w:t>
      </w:r>
      <w:r w:rsidR="003854AD">
        <w:rPr>
          <w:rFonts w:ascii="Times New Roman" w:hAnsi="Times New Roman" w:cs="Times New Roman"/>
          <w:sz w:val="24"/>
        </w:rPr>
        <w:t>seeking to allow contractors to collect reasonable attorney fees for claims on payment and performance bonds.  This would be a welcome change to the current disparate treatment of contractors with respect to attorney fees and bond claims.</w:t>
      </w:r>
    </w:p>
    <w:p w14:paraId="5F275D44" w14:textId="77777777" w:rsidR="003854AD" w:rsidRPr="003854AD" w:rsidRDefault="003854AD" w:rsidP="003854AD">
      <w:pPr>
        <w:pStyle w:val="ListParagraph"/>
        <w:ind w:left="1800"/>
        <w:jc w:val="both"/>
        <w:rPr>
          <w:rFonts w:ascii="Times New Roman" w:hAnsi="Times New Roman" w:cs="Times New Roman"/>
          <w:b/>
          <w:sz w:val="24"/>
        </w:rPr>
      </w:pPr>
    </w:p>
    <w:p w14:paraId="6A03A96C" w14:textId="0431EEAC" w:rsidR="003854AD" w:rsidRDefault="003854AD" w:rsidP="003854AD">
      <w:pPr>
        <w:pStyle w:val="ListParagraph"/>
        <w:numPr>
          <w:ilvl w:val="0"/>
          <w:numId w:val="2"/>
        </w:numPr>
        <w:jc w:val="both"/>
        <w:rPr>
          <w:rFonts w:ascii="Times New Roman" w:hAnsi="Times New Roman" w:cs="Times New Roman"/>
          <w:b/>
          <w:sz w:val="24"/>
        </w:rPr>
      </w:pPr>
      <w:r>
        <w:rPr>
          <w:rFonts w:ascii="Times New Roman" w:hAnsi="Times New Roman" w:cs="Times New Roman"/>
          <w:b/>
          <w:sz w:val="24"/>
        </w:rPr>
        <w:t>Changes to 713.23, Fla. Stat.</w:t>
      </w:r>
    </w:p>
    <w:p w14:paraId="0A9DDE5B" w14:textId="0D45ADAF" w:rsidR="003854AD" w:rsidRPr="003854AD" w:rsidRDefault="003854AD" w:rsidP="003854AD">
      <w:pPr>
        <w:pStyle w:val="ListParagraph"/>
        <w:numPr>
          <w:ilvl w:val="1"/>
          <w:numId w:val="2"/>
        </w:numPr>
        <w:jc w:val="both"/>
        <w:rPr>
          <w:rFonts w:ascii="Times New Roman" w:hAnsi="Times New Roman" w:cs="Times New Roman"/>
          <w:b/>
          <w:sz w:val="24"/>
        </w:rPr>
      </w:pPr>
      <w:r>
        <w:rPr>
          <w:rFonts w:ascii="Times New Roman" w:hAnsi="Times New Roman" w:cs="Times New Roman"/>
          <w:sz w:val="24"/>
        </w:rPr>
        <w:t>The same analysis provided for Section 255.05, Fla. Stat. above applies equally here</w:t>
      </w:r>
      <w:r w:rsidR="00BF3DA0">
        <w:rPr>
          <w:rFonts w:ascii="Times New Roman" w:hAnsi="Times New Roman" w:cs="Times New Roman"/>
          <w:sz w:val="24"/>
        </w:rPr>
        <w:t>, with the exception that the applicable statute for Sworn Statement of Account is</w:t>
      </w:r>
      <w:r w:rsidR="00FB507E">
        <w:rPr>
          <w:rFonts w:ascii="Times New Roman" w:hAnsi="Times New Roman" w:cs="Times New Roman"/>
          <w:sz w:val="24"/>
        </w:rPr>
        <w:t xml:space="preserve"> located at</w:t>
      </w:r>
      <w:r w:rsidR="00BF3DA0">
        <w:rPr>
          <w:rFonts w:ascii="Times New Roman" w:hAnsi="Times New Roman" w:cs="Times New Roman"/>
          <w:sz w:val="24"/>
        </w:rPr>
        <w:t xml:space="preserve"> Section 713.16(4), Fla. Stat.</w:t>
      </w:r>
    </w:p>
    <w:p w14:paraId="71BD927E" w14:textId="77777777" w:rsidR="003854AD" w:rsidRDefault="003854AD" w:rsidP="003854AD">
      <w:pPr>
        <w:jc w:val="both"/>
        <w:rPr>
          <w:rFonts w:ascii="Times New Roman" w:hAnsi="Times New Roman" w:cs="Times New Roman"/>
          <w:b/>
          <w:sz w:val="24"/>
        </w:rPr>
      </w:pPr>
    </w:p>
    <w:p w14:paraId="3F9CA037" w14:textId="7E2DE906" w:rsidR="003854AD" w:rsidRPr="003854AD" w:rsidRDefault="003854AD" w:rsidP="003854AD">
      <w:pPr>
        <w:pStyle w:val="ListParagraph"/>
        <w:numPr>
          <w:ilvl w:val="0"/>
          <w:numId w:val="1"/>
        </w:numPr>
        <w:jc w:val="both"/>
        <w:rPr>
          <w:rFonts w:ascii="Times New Roman" w:hAnsi="Times New Roman" w:cs="Times New Roman"/>
          <w:b/>
          <w:sz w:val="24"/>
        </w:rPr>
      </w:pPr>
      <w:r w:rsidRPr="003854AD">
        <w:rPr>
          <w:rFonts w:ascii="Times New Roman" w:hAnsi="Times New Roman" w:cs="Times New Roman"/>
          <w:b/>
          <w:sz w:val="24"/>
        </w:rPr>
        <w:t>FISCAL IMPACT ON STATE AND LOCAL GOVERNMENTS</w:t>
      </w:r>
    </w:p>
    <w:p w14:paraId="78DFC7DE" w14:textId="02E02D7E" w:rsidR="003854AD" w:rsidRPr="003854AD" w:rsidRDefault="003854AD" w:rsidP="003854AD">
      <w:pPr>
        <w:ind w:firstLine="720"/>
        <w:jc w:val="both"/>
        <w:rPr>
          <w:rFonts w:ascii="Times New Roman" w:hAnsi="Times New Roman" w:cs="Times New Roman"/>
          <w:b/>
          <w:sz w:val="24"/>
        </w:rPr>
      </w:pPr>
      <w:r w:rsidRPr="003854AD">
        <w:rPr>
          <w:rFonts w:ascii="Times New Roman" w:hAnsi="Times New Roman" w:cs="Times New Roman"/>
          <w:sz w:val="24"/>
        </w:rPr>
        <w:t>None that the Construction Law Committee is aware of as bonds are provided because public lands are not subject to lien claims.</w:t>
      </w:r>
    </w:p>
    <w:p w14:paraId="205F4B80" w14:textId="48A53289" w:rsidR="003854AD" w:rsidRDefault="003854AD" w:rsidP="003854AD">
      <w:pPr>
        <w:jc w:val="both"/>
        <w:rPr>
          <w:rFonts w:ascii="Times New Roman" w:hAnsi="Times New Roman" w:cs="Times New Roman"/>
          <w:b/>
          <w:sz w:val="24"/>
        </w:rPr>
      </w:pPr>
    </w:p>
    <w:p w14:paraId="04909E6B" w14:textId="158F29EB" w:rsidR="003854AD" w:rsidRDefault="003854AD" w:rsidP="003854AD">
      <w:pPr>
        <w:pStyle w:val="ListParagraph"/>
        <w:numPr>
          <w:ilvl w:val="0"/>
          <w:numId w:val="1"/>
        </w:numPr>
        <w:jc w:val="both"/>
        <w:rPr>
          <w:rFonts w:ascii="Times New Roman" w:hAnsi="Times New Roman" w:cs="Times New Roman"/>
          <w:b/>
          <w:sz w:val="24"/>
        </w:rPr>
      </w:pPr>
      <w:r>
        <w:rPr>
          <w:rFonts w:ascii="Times New Roman" w:hAnsi="Times New Roman" w:cs="Times New Roman"/>
          <w:b/>
          <w:sz w:val="24"/>
        </w:rPr>
        <w:t>DIRECT ECONOMIC IMPACT ON PRIVATE SECTOR</w:t>
      </w:r>
    </w:p>
    <w:p w14:paraId="59FBCBDD" w14:textId="74AA7B59" w:rsidR="00BF3DA0" w:rsidRDefault="003854AD" w:rsidP="003854AD">
      <w:pPr>
        <w:ind w:firstLine="720"/>
        <w:jc w:val="both"/>
        <w:rPr>
          <w:rFonts w:ascii="Times New Roman" w:hAnsi="Times New Roman" w:cs="Times New Roman"/>
          <w:sz w:val="24"/>
        </w:rPr>
      </w:pPr>
      <w:r w:rsidRPr="00BF3DA0">
        <w:rPr>
          <w:rFonts w:ascii="Times New Roman" w:hAnsi="Times New Roman" w:cs="Times New Roman"/>
          <w:sz w:val="24"/>
          <w:u w:val="single"/>
        </w:rPr>
        <w:t>The Legislative analysis of both bills is as follows</w:t>
      </w:r>
      <w:r>
        <w:rPr>
          <w:rFonts w:ascii="Times New Roman" w:hAnsi="Times New Roman" w:cs="Times New Roman"/>
          <w:sz w:val="24"/>
        </w:rPr>
        <w:t xml:space="preserve">:  </w:t>
      </w:r>
    </w:p>
    <w:p w14:paraId="3047E62D" w14:textId="51C699FD" w:rsidR="003854AD" w:rsidRDefault="003854AD" w:rsidP="00FB507E">
      <w:pPr>
        <w:ind w:firstLine="720"/>
        <w:jc w:val="both"/>
        <w:rPr>
          <w:rFonts w:ascii="Times New Roman" w:hAnsi="Times New Roman" w:cs="Times New Roman"/>
          <w:sz w:val="24"/>
        </w:rPr>
      </w:pPr>
      <w:r w:rsidRPr="003854AD">
        <w:rPr>
          <w:rFonts w:ascii="Times New Roman" w:hAnsi="Times New Roman" w:cs="Times New Roman"/>
          <w:sz w:val="24"/>
        </w:rPr>
        <w:t xml:space="preserve">Unknown. It is unclear if the additional provisions required in order to serve a notice of nonpayment will </w:t>
      </w:r>
      <w:proofErr w:type="gramStart"/>
      <w:r w:rsidRPr="003854AD">
        <w:rPr>
          <w:rFonts w:ascii="Times New Roman" w:hAnsi="Times New Roman" w:cs="Times New Roman"/>
          <w:sz w:val="24"/>
        </w:rPr>
        <w:t>have an effect on</w:t>
      </w:r>
      <w:proofErr w:type="gramEnd"/>
      <w:r w:rsidRPr="003854AD">
        <w:rPr>
          <w:rFonts w:ascii="Times New Roman" w:hAnsi="Times New Roman" w:cs="Times New Roman"/>
          <w:sz w:val="24"/>
        </w:rPr>
        <w:t xml:space="preserve"> the private sector. </w:t>
      </w:r>
      <w:r w:rsidRPr="00BF3DA0">
        <w:rPr>
          <w:rFonts w:ascii="Times New Roman" w:hAnsi="Times New Roman" w:cs="Times New Roman"/>
          <w:b/>
          <w:sz w:val="24"/>
        </w:rPr>
        <w:t>The new provisions may make it more difficult for a subcontractor to file a notice of non-payment</w:t>
      </w:r>
      <w:r w:rsidRPr="003854AD">
        <w:rPr>
          <w:rFonts w:ascii="Times New Roman" w:hAnsi="Times New Roman" w:cs="Times New Roman"/>
          <w:sz w:val="24"/>
        </w:rPr>
        <w:t>. Other provisions may make it easier for a prevailing contractor to collect attorney fees in a claim against the surety insurer</w:t>
      </w:r>
      <w:r>
        <w:rPr>
          <w:rFonts w:ascii="Times New Roman" w:hAnsi="Times New Roman" w:cs="Times New Roman"/>
          <w:sz w:val="24"/>
        </w:rPr>
        <w:t>.</w:t>
      </w:r>
    </w:p>
    <w:p w14:paraId="00E849FF" w14:textId="77777777" w:rsidR="00BF3DA0" w:rsidRDefault="003854AD" w:rsidP="003854AD">
      <w:pPr>
        <w:ind w:firstLine="720"/>
        <w:jc w:val="both"/>
        <w:rPr>
          <w:rFonts w:ascii="Times New Roman" w:hAnsi="Times New Roman" w:cs="Times New Roman"/>
          <w:sz w:val="24"/>
        </w:rPr>
      </w:pPr>
      <w:r w:rsidRPr="00BF3DA0">
        <w:rPr>
          <w:rFonts w:ascii="Times New Roman" w:hAnsi="Times New Roman" w:cs="Times New Roman"/>
          <w:sz w:val="24"/>
          <w:u w:val="single"/>
        </w:rPr>
        <w:t>The Construction Law Committee’s position is as follows</w:t>
      </w:r>
      <w:r>
        <w:rPr>
          <w:rFonts w:ascii="Times New Roman" w:hAnsi="Times New Roman" w:cs="Times New Roman"/>
          <w:sz w:val="24"/>
        </w:rPr>
        <w:t xml:space="preserve">: </w:t>
      </w:r>
    </w:p>
    <w:p w14:paraId="21976551" w14:textId="285EB50E" w:rsidR="003854AD" w:rsidRPr="00BF3DA0" w:rsidRDefault="00BF3DA0" w:rsidP="00FB507E">
      <w:pPr>
        <w:ind w:firstLine="720"/>
        <w:jc w:val="both"/>
        <w:rPr>
          <w:rFonts w:ascii="Times New Roman" w:hAnsi="Times New Roman" w:cs="Times New Roman"/>
          <w:sz w:val="24"/>
        </w:rPr>
      </w:pPr>
      <w:r>
        <w:rPr>
          <w:rFonts w:ascii="Times New Roman" w:hAnsi="Times New Roman" w:cs="Times New Roman"/>
          <w:sz w:val="24"/>
        </w:rPr>
        <w:t>T</w:t>
      </w:r>
      <w:r w:rsidR="003854AD">
        <w:rPr>
          <w:rFonts w:ascii="Times New Roman" w:hAnsi="Times New Roman" w:cs="Times New Roman"/>
          <w:sz w:val="24"/>
        </w:rPr>
        <w:t xml:space="preserve">he proposed changes to 255.05 and 713.23 will make it significantly more difficult for bond claimants to secure a payment claim on projects where the property is not subject to liens.  As a result, many potential bond claimants in the construction industry may be without any secure recourse for payment on jobs. </w:t>
      </w:r>
      <w:r w:rsidR="003854AD" w:rsidRPr="00BF3DA0">
        <w:rPr>
          <w:rFonts w:ascii="Times New Roman" w:hAnsi="Times New Roman" w:cs="Times New Roman"/>
          <w:b/>
          <w:sz w:val="24"/>
        </w:rPr>
        <w:t xml:space="preserve">This could have a considerable impact on the construction </w:t>
      </w:r>
      <w:r w:rsidR="003854AD" w:rsidRPr="00BF3DA0">
        <w:rPr>
          <w:rFonts w:ascii="Times New Roman" w:hAnsi="Times New Roman" w:cs="Times New Roman"/>
          <w:b/>
          <w:sz w:val="24"/>
        </w:rPr>
        <w:lastRenderedPageBreak/>
        <w:t>industry</w:t>
      </w:r>
      <w:r w:rsidRPr="00BF3DA0">
        <w:rPr>
          <w:rFonts w:ascii="Times New Roman" w:hAnsi="Times New Roman" w:cs="Times New Roman"/>
          <w:b/>
          <w:sz w:val="24"/>
        </w:rPr>
        <w:t>, including many business failures in the construction industry</w:t>
      </w:r>
      <w:r>
        <w:rPr>
          <w:rFonts w:ascii="Times New Roman" w:hAnsi="Times New Roman" w:cs="Times New Roman"/>
          <w:sz w:val="24"/>
        </w:rPr>
        <w:t xml:space="preserve"> </w:t>
      </w:r>
      <w:r>
        <w:rPr>
          <w:rFonts w:ascii="Times New Roman" w:hAnsi="Times New Roman" w:cs="Times New Roman"/>
          <w:b/>
          <w:sz w:val="24"/>
        </w:rPr>
        <w:t>and potentially increasing unemployment.</w:t>
      </w:r>
    </w:p>
    <w:p w14:paraId="69D5A876" w14:textId="3CB9323A" w:rsidR="003854AD" w:rsidRPr="003854AD" w:rsidRDefault="003854AD" w:rsidP="003854AD">
      <w:pPr>
        <w:pStyle w:val="ListParagraph"/>
        <w:numPr>
          <w:ilvl w:val="0"/>
          <w:numId w:val="1"/>
        </w:numPr>
        <w:jc w:val="both"/>
        <w:rPr>
          <w:rFonts w:ascii="Times New Roman" w:hAnsi="Times New Roman" w:cs="Times New Roman"/>
          <w:sz w:val="24"/>
        </w:rPr>
      </w:pPr>
      <w:r>
        <w:rPr>
          <w:rFonts w:ascii="Times New Roman" w:hAnsi="Times New Roman" w:cs="Times New Roman"/>
          <w:b/>
          <w:sz w:val="24"/>
        </w:rPr>
        <w:t>CONSTITUTIONAL ISSUES</w:t>
      </w:r>
    </w:p>
    <w:p w14:paraId="27C8BF1A" w14:textId="2BD93356" w:rsidR="003854AD" w:rsidRDefault="003854AD" w:rsidP="003854AD">
      <w:pPr>
        <w:ind w:left="720"/>
        <w:jc w:val="both"/>
        <w:rPr>
          <w:rFonts w:ascii="Times New Roman" w:hAnsi="Times New Roman" w:cs="Times New Roman"/>
          <w:sz w:val="24"/>
        </w:rPr>
      </w:pPr>
      <w:r>
        <w:rPr>
          <w:rFonts w:ascii="Times New Roman" w:hAnsi="Times New Roman" w:cs="Times New Roman"/>
          <w:sz w:val="24"/>
        </w:rPr>
        <w:t xml:space="preserve">None that the Construction Law Committee is aware of </w:t>
      </w:r>
      <w:proofErr w:type="gramStart"/>
      <w:r>
        <w:rPr>
          <w:rFonts w:ascii="Times New Roman" w:hAnsi="Times New Roman" w:cs="Times New Roman"/>
          <w:sz w:val="24"/>
        </w:rPr>
        <w:t>at this time</w:t>
      </w:r>
      <w:proofErr w:type="gramEnd"/>
      <w:r>
        <w:rPr>
          <w:rFonts w:ascii="Times New Roman" w:hAnsi="Times New Roman" w:cs="Times New Roman"/>
          <w:sz w:val="24"/>
        </w:rPr>
        <w:t>.</w:t>
      </w:r>
    </w:p>
    <w:p w14:paraId="78D25191" w14:textId="1050E12B" w:rsidR="003854AD" w:rsidRPr="003854AD" w:rsidRDefault="003854AD" w:rsidP="003854AD">
      <w:pPr>
        <w:pStyle w:val="ListParagraph"/>
        <w:numPr>
          <w:ilvl w:val="0"/>
          <w:numId w:val="1"/>
        </w:numPr>
        <w:jc w:val="both"/>
        <w:rPr>
          <w:rFonts w:ascii="Times New Roman" w:hAnsi="Times New Roman" w:cs="Times New Roman"/>
          <w:b/>
          <w:sz w:val="24"/>
        </w:rPr>
      </w:pPr>
      <w:r w:rsidRPr="003854AD">
        <w:rPr>
          <w:rFonts w:ascii="Times New Roman" w:hAnsi="Times New Roman" w:cs="Times New Roman"/>
          <w:b/>
          <w:sz w:val="24"/>
        </w:rPr>
        <w:t>OTHER INTERESTED PARTIES</w:t>
      </w:r>
    </w:p>
    <w:p w14:paraId="09DAF1E9" w14:textId="0F9B90EA" w:rsidR="003854AD" w:rsidRDefault="003854AD" w:rsidP="003854AD">
      <w:pPr>
        <w:ind w:firstLine="720"/>
        <w:jc w:val="both"/>
        <w:rPr>
          <w:rFonts w:ascii="Times New Roman" w:hAnsi="Times New Roman" w:cs="Times New Roman"/>
          <w:sz w:val="24"/>
        </w:rPr>
      </w:pPr>
      <w:r>
        <w:rPr>
          <w:rFonts w:ascii="Times New Roman" w:hAnsi="Times New Roman" w:cs="Times New Roman"/>
          <w:sz w:val="24"/>
        </w:rPr>
        <w:t xml:space="preserve">The contractor and surety lobbies will certainly want these bills passed; however, the overall impact of these bills would be </w:t>
      </w:r>
      <w:proofErr w:type="gramStart"/>
      <w:r>
        <w:rPr>
          <w:rFonts w:ascii="Times New Roman" w:hAnsi="Times New Roman" w:cs="Times New Roman"/>
          <w:sz w:val="24"/>
        </w:rPr>
        <w:t>adverse</w:t>
      </w:r>
      <w:proofErr w:type="gramEnd"/>
      <w:r>
        <w:rPr>
          <w:rFonts w:ascii="Times New Roman" w:hAnsi="Times New Roman" w:cs="Times New Roman"/>
          <w:sz w:val="24"/>
        </w:rPr>
        <w:t xml:space="preserve"> to the construction industry as a whole.</w:t>
      </w:r>
      <w:r w:rsidR="00D662CB">
        <w:rPr>
          <w:rFonts w:ascii="Times New Roman" w:hAnsi="Times New Roman" w:cs="Times New Roman"/>
          <w:sz w:val="24"/>
        </w:rPr>
        <w:t xml:space="preserve">  </w:t>
      </w:r>
    </w:p>
    <w:p w14:paraId="4B004C56" w14:textId="4B2DDAA5" w:rsidR="003854AD" w:rsidRDefault="003854AD" w:rsidP="003854AD">
      <w:pPr>
        <w:pStyle w:val="ListParagraph"/>
        <w:numPr>
          <w:ilvl w:val="0"/>
          <w:numId w:val="1"/>
        </w:numPr>
        <w:jc w:val="both"/>
        <w:rPr>
          <w:rFonts w:ascii="Times New Roman" w:hAnsi="Times New Roman" w:cs="Times New Roman"/>
          <w:b/>
          <w:sz w:val="24"/>
        </w:rPr>
      </w:pPr>
      <w:r>
        <w:rPr>
          <w:rFonts w:ascii="Times New Roman" w:hAnsi="Times New Roman" w:cs="Times New Roman"/>
          <w:b/>
          <w:sz w:val="24"/>
        </w:rPr>
        <w:t>EXPEDITED REVIEW AND VOTE</w:t>
      </w:r>
    </w:p>
    <w:p w14:paraId="3929DA16" w14:textId="08307939" w:rsidR="003854AD" w:rsidRPr="003854AD" w:rsidRDefault="003854AD" w:rsidP="003854AD">
      <w:pPr>
        <w:ind w:firstLine="720"/>
        <w:jc w:val="both"/>
        <w:rPr>
          <w:rFonts w:ascii="Times New Roman" w:hAnsi="Times New Roman" w:cs="Times New Roman"/>
          <w:sz w:val="24"/>
        </w:rPr>
      </w:pPr>
      <w:r>
        <w:rPr>
          <w:rFonts w:ascii="Times New Roman" w:hAnsi="Times New Roman" w:cs="Times New Roman"/>
          <w:sz w:val="24"/>
        </w:rPr>
        <w:t xml:space="preserve">The Construction Law Committee requests that the RPPTL Section expedite review and vote </w:t>
      </w:r>
      <w:r w:rsidR="00D662CB">
        <w:rPr>
          <w:rFonts w:ascii="Times New Roman" w:hAnsi="Times New Roman" w:cs="Times New Roman"/>
          <w:sz w:val="24"/>
        </w:rPr>
        <w:t>in</w:t>
      </w:r>
      <w:r>
        <w:rPr>
          <w:rFonts w:ascii="Times New Roman" w:hAnsi="Times New Roman" w:cs="Times New Roman"/>
          <w:sz w:val="24"/>
        </w:rPr>
        <w:t xml:space="preserve"> opposition to SB 1200 and HB1247 because </w:t>
      </w:r>
      <w:r w:rsidR="00D662CB">
        <w:rPr>
          <w:rFonts w:ascii="Times New Roman" w:hAnsi="Times New Roman" w:cs="Times New Roman"/>
          <w:sz w:val="24"/>
        </w:rPr>
        <w:t>it is soon to be voted on the floor of the house and is being scheduled for its final committee in the Senate</w:t>
      </w:r>
      <w:r>
        <w:rPr>
          <w:rFonts w:ascii="Times New Roman" w:hAnsi="Times New Roman" w:cs="Times New Roman"/>
          <w:sz w:val="24"/>
        </w:rPr>
        <w:t>.</w:t>
      </w:r>
    </w:p>
    <w:sectPr w:rsidR="003854AD" w:rsidRPr="00385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E40EF"/>
    <w:multiLevelType w:val="hybridMultilevel"/>
    <w:tmpl w:val="52CE0DF2"/>
    <w:lvl w:ilvl="0" w:tplc="5A747D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CC50AB"/>
    <w:multiLevelType w:val="hybridMultilevel"/>
    <w:tmpl w:val="CC600A3C"/>
    <w:lvl w:ilvl="0" w:tplc="272628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542BE24">
      <w:start w:val="4"/>
      <w:numFmt w:val="upperRoman"/>
      <w:lvlText w:val="%4&gt;"/>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F6"/>
    <w:rsid w:val="00013EAD"/>
    <w:rsid w:val="00043845"/>
    <w:rsid w:val="00187FC7"/>
    <w:rsid w:val="00266250"/>
    <w:rsid w:val="00301979"/>
    <w:rsid w:val="003854AD"/>
    <w:rsid w:val="00641DE1"/>
    <w:rsid w:val="00717D50"/>
    <w:rsid w:val="00824C5D"/>
    <w:rsid w:val="009D1543"/>
    <w:rsid w:val="00BF3DA0"/>
    <w:rsid w:val="00D662CB"/>
    <w:rsid w:val="00F17BF6"/>
    <w:rsid w:val="00FB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CE8F"/>
  <w15:chartTrackingRefBased/>
  <w15:docId w15:val="{8E6CDC2C-D4AA-42D8-958B-CA2204C4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Mickley</dc:creator>
  <cp:keywords/>
  <dc:description/>
  <cp:lastModifiedBy>Sean Mickley</cp:lastModifiedBy>
  <cp:revision>6</cp:revision>
  <dcterms:created xsi:type="dcterms:W3CDTF">2019-04-04T15:49:00Z</dcterms:created>
  <dcterms:modified xsi:type="dcterms:W3CDTF">2019-04-05T11:42:00Z</dcterms:modified>
</cp:coreProperties>
</file>